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A32BE" w14:textId="77777777" w:rsidR="00DB6CDD" w:rsidRPr="00871597" w:rsidRDefault="00DB6CDD" w:rsidP="00DB6CDD">
      <w:pPr>
        <w:jc w:val="right"/>
        <w:rPr>
          <w:b/>
          <w:lang w:val="en-US"/>
        </w:rPr>
      </w:pPr>
      <w:bookmarkStart w:id="0" w:name="_GoBack"/>
      <w:bookmarkEnd w:id="0"/>
      <w:r w:rsidRPr="00871597">
        <w:rPr>
          <w:b/>
          <w:lang w:val="en-US"/>
        </w:rPr>
        <w:t>Japanese Society of Hematology (JSH)</w:t>
      </w:r>
      <w:r>
        <w:rPr>
          <w:b/>
        </w:rPr>
        <w:t>疾患登録事業</w:t>
      </w:r>
    </w:p>
    <w:p w14:paraId="7A79834E" w14:textId="77777777" w:rsidR="00DB6CDD" w:rsidRDefault="00DB6CDD" w:rsidP="00DB6CDD">
      <w:pPr>
        <w:widowControl/>
        <w:jc w:val="right"/>
      </w:pPr>
      <w:r>
        <w:t>CML TFR研究実行委員会</w:t>
      </w:r>
    </w:p>
    <w:p w14:paraId="78B5152C" w14:textId="77777777" w:rsidR="00DB6CDD" w:rsidRDefault="00DB6CDD">
      <w:pPr>
        <w:jc w:val="center"/>
        <w:rPr>
          <w:b/>
        </w:rPr>
      </w:pPr>
    </w:p>
    <w:p w14:paraId="4D8C972A" w14:textId="47E68CE9" w:rsidR="002A69E3" w:rsidRDefault="00424D15">
      <w:pPr>
        <w:jc w:val="center"/>
        <w:rPr>
          <w:b/>
        </w:rPr>
      </w:pPr>
      <w:r>
        <w:rPr>
          <w:b/>
        </w:rPr>
        <w:t>慢性骨髄性白血病患者に対するチロシンキナーゼ阻害薬中止後の無治療寛解維持を検討する日本国内多施設共同観察研究</w:t>
      </w:r>
    </w:p>
    <w:p w14:paraId="25900CD6" w14:textId="77777777" w:rsidR="002A69E3" w:rsidRDefault="002A69E3">
      <w:pPr>
        <w:jc w:val="center"/>
        <w:rPr>
          <w:b/>
          <w:i/>
        </w:rPr>
      </w:pPr>
    </w:p>
    <w:p w14:paraId="22493AC5" w14:textId="77777777" w:rsidR="002A69E3" w:rsidRPr="00871597" w:rsidRDefault="00424D15">
      <w:pPr>
        <w:jc w:val="center"/>
        <w:rPr>
          <w:lang w:val="en-US"/>
        </w:rPr>
      </w:pPr>
      <w:r w:rsidRPr="00871597">
        <w:rPr>
          <w:i/>
          <w:lang w:val="en-US"/>
        </w:rPr>
        <w:t xml:space="preserve">Multi-Institutional Collaborative Study for Estimating the Persistence of Treatment Free Remission in Chronic Myeloid Leukemia after </w:t>
      </w:r>
      <w:r w:rsidRPr="00871597">
        <w:rPr>
          <w:i/>
          <w:u w:val="single"/>
          <w:lang w:val="en-US"/>
        </w:rPr>
        <w:t>S</w:t>
      </w:r>
      <w:r w:rsidRPr="00871597">
        <w:rPr>
          <w:i/>
          <w:lang w:val="en-US"/>
        </w:rPr>
        <w:t xml:space="preserve">topping Tyrosine </w:t>
      </w:r>
      <w:r w:rsidRPr="00871597">
        <w:rPr>
          <w:i/>
          <w:u w:val="single"/>
          <w:lang w:val="en-US"/>
        </w:rPr>
        <w:t>K</w:t>
      </w:r>
      <w:r w:rsidRPr="00871597">
        <w:rPr>
          <w:i/>
          <w:lang w:val="en-US"/>
        </w:rPr>
        <w:t xml:space="preserve">inase </w:t>
      </w:r>
      <w:r w:rsidRPr="00871597">
        <w:rPr>
          <w:i/>
          <w:u w:val="single"/>
          <w:lang w:val="en-US"/>
        </w:rPr>
        <w:t>I</w:t>
      </w:r>
      <w:r w:rsidRPr="00871597">
        <w:rPr>
          <w:i/>
          <w:lang w:val="en-US"/>
        </w:rPr>
        <w:t xml:space="preserve">nhibitor in </w:t>
      </w:r>
      <w:r w:rsidRPr="00871597">
        <w:rPr>
          <w:i/>
          <w:u w:val="single"/>
          <w:lang w:val="en-US"/>
        </w:rPr>
        <w:t>J</w:t>
      </w:r>
      <w:r w:rsidRPr="00871597">
        <w:rPr>
          <w:i/>
          <w:lang w:val="en-US"/>
        </w:rPr>
        <w:t>apan: J-SKI (Japan Stop TKI study)</w:t>
      </w:r>
      <w:r w:rsidRPr="00871597">
        <w:rPr>
          <w:lang w:val="en-US"/>
        </w:rPr>
        <w:t xml:space="preserve"> </w:t>
      </w:r>
    </w:p>
    <w:p w14:paraId="6E6066EA" w14:textId="77777777" w:rsidR="002A69E3" w:rsidRPr="00871597" w:rsidRDefault="002A69E3">
      <w:pPr>
        <w:jc w:val="center"/>
        <w:rPr>
          <w:b/>
          <w:lang w:val="en-US"/>
        </w:rPr>
      </w:pPr>
    </w:p>
    <w:p w14:paraId="03590690" w14:textId="77777777" w:rsidR="002A69E3" w:rsidRDefault="00424D15">
      <w:pPr>
        <w:jc w:val="center"/>
        <w:rPr>
          <w:b/>
        </w:rPr>
      </w:pPr>
      <w:r>
        <w:rPr>
          <w:b/>
        </w:rPr>
        <w:t>実施計画書</w:t>
      </w:r>
    </w:p>
    <w:p w14:paraId="095D76FE" w14:textId="77777777" w:rsidR="002A69E3" w:rsidRDefault="00424D15">
      <w:pPr>
        <w:tabs>
          <w:tab w:val="left" w:pos="3080"/>
        </w:tabs>
        <w:jc w:val="left"/>
      </w:pPr>
      <w:r>
        <w:tab/>
      </w:r>
    </w:p>
    <w:p w14:paraId="61AA95FC" w14:textId="77777777" w:rsidR="002A69E3" w:rsidRDefault="00431D02">
      <w:pPr>
        <w:ind w:left="2435"/>
        <w:jc w:val="left"/>
      </w:pPr>
      <w:r>
        <w:t>研究代表者：髙橋</w:t>
      </w:r>
      <w:r w:rsidR="00FB176D">
        <w:rPr>
          <w:rFonts w:hint="eastAsia"/>
        </w:rPr>
        <w:t xml:space="preserve"> </w:t>
      </w:r>
      <w:r w:rsidR="00424D15">
        <w:t>直人</w:t>
      </w:r>
    </w:p>
    <w:p w14:paraId="6848C8B9" w14:textId="77777777" w:rsidR="002A69E3" w:rsidRDefault="00424D15">
      <w:pPr>
        <w:ind w:left="2435"/>
        <w:jc w:val="left"/>
      </w:pPr>
      <w:r>
        <w:t>秋田大学医学部 血液腎臓膠原病内科</w:t>
      </w:r>
    </w:p>
    <w:p w14:paraId="4B495BCA" w14:textId="77777777" w:rsidR="002A69E3" w:rsidRPr="00871597" w:rsidRDefault="00424D15">
      <w:pPr>
        <w:ind w:left="2435"/>
        <w:jc w:val="left"/>
        <w:rPr>
          <w:lang w:val="en-US"/>
        </w:rPr>
      </w:pPr>
      <w:r w:rsidRPr="00871597">
        <w:rPr>
          <w:lang w:val="en-US"/>
        </w:rPr>
        <w:t>Phone</w:t>
      </w:r>
      <w:bookmarkStart w:id="1" w:name="OLE_LINK43"/>
      <w:bookmarkStart w:id="2" w:name="OLE_LINK44"/>
      <w:r w:rsidRPr="00871597">
        <w:rPr>
          <w:lang w:val="en-US"/>
        </w:rPr>
        <w:t xml:space="preserve">: </w:t>
      </w:r>
      <w:bookmarkEnd w:id="1"/>
      <w:bookmarkEnd w:id="2"/>
      <w:r w:rsidRPr="00871597">
        <w:rPr>
          <w:lang w:val="en-US"/>
        </w:rPr>
        <w:t>018-884-6111</w:t>
      </w:r>
    </w:p>
    <w:p w14:paraId="58533484" w14:textId="77777777" w:rsidR="002A69E3" w:rsidRPr="00871597" w:rsidRDefault="00424D15">
      <w:pPr>
        <w:ind w:left="2435"/>
        <w:jc w:val="left"/>
        <w:rPr>
          <w:lang w:val="en-US"/>
        </w:rPr>
      </w:pPr>
      <w:r w:rsidRPr="00871597">
        <w:rPr>
          <w:lang w:val="en-US"/>
        </w:rPr>
        <w:t>Fax:   018-834-2613</w:t>
      </w:r>
    </w:p>
    <w:p w14:paraId="0B128785" w14:textId="72B8B47D" w:rsidR="002A69E3" w:rsidRPr="00871597" w:rsidRDefault="00424D15">
      <w:pPr>
        <w:ind w:left="2435"/>
        <w:jc w:val="left"/>
        <w:rPr>
          <w:lang w:val="en-US"/>
        </w:rPr>
      </w:pPr>
      <w:r w:rsidRPr="00871597">
        <w:rPr>
          <w:lang w:val="en-US"/>
        </w:rPr>
        <w:t>e-mail</w:t>
      </w:r>
      <w:r w:rsidR="00B26CBC" w:rsidRPr="00871597">
        <w:rPr>
          <w:lang w:val="en-US"/>
        </w:rPr>
        <w:t xml:space="preserve">: </w:t>
      </w:r>
      <w:r w:rsidRPr="00871597">
        <w:rPr>
          <w:lang w:val="en-US"/>
        </w:rPr>
        <w:t>naotot@doc.me</w:t>
      </w:r>
      <w:r w:rsidRPr="00871597">
        <w:rPr>
          <w:sz w:val="18"/>
          <w:szCs w:val="18"/>
          <w:lang w:val="en-US"/>
        </w:rPr>
        <w:t>d</w:t>
      </w:r>
      <w:r w:rsidRPr="00871597">
        <w:rPr>
          <w:lang w:val="en-US"/>
        </w:rPr>
        <w:t>.akita-u.ac.jp</w:t>
      </w:r>
    </w:p>
    <w:p w14:paraId="60E5AB71" w14:textId="77777777" w:rsidR="002A69E3" w:rsidRPr="00871597" w:rsidRDefault="002A69E3">
      <w:pPr>
        <w:ind w:left="2435"/>
        <w:jc w:val="left"/>
        <w:rPr>
          <w:lang w:val="en-US"/>
        </w:rPr>
      </w:pPr>
    </w:p>
    <w:p w14:paraId="65EEFBBE" w14:textId="77777777" w:rsidR="002A69E3" w:rsidRDefault="00424D15">
      <w:pPr>
        <w:ind w:left="2435"/>
        <w:jc w:val="left"/>
      </w:pPr>
      <w:r>
        <w:t>研究事務局：木村</w:t>
      </w:r>
      <w:r w:rsidR="00FB176D">
        <w:rPr>
          <w:rFonts w:hint="eastAsia"/>
        </w:rPr>
        <w:t xml:space="preserve"> </w:t>
      </w:r>
      <w:r>
        <w:t>晋也</w:t>
      </w:r>
    </w:p>
    <w:p w14:paraId="1C3CA53B" w14:textId="77777777" w:rsidR="002A69E3" w:rsidRDefault="00424D15">
      <w:pPr>
        <w:ind w:left="2435"/>
        <w:jc w:val="left"/>
      </w:pPr>
      <w:r>
        <w:t xml:space="preserve">佐賀大学医学部 内科学講座 血液・呼吸器・腫瘍内科　</w:t>
      </w:r>
    </w:p>
    <w:p w14:paraId="5D9B8FEA" w14:textId="77777777" w:rsidR="002A69E3" w:rsidRPr="00871597" w:rsidRDefault="00424D15">
      <w:pPr>
        <w:ind w:left="2435"/>
        <w:jc w:val="left"/>
        <w:rPr>
          <w:lang w:val="en-US"/>
        </w:rPr>
      </w:pPr>
      <w:r w:rsidRPr="00871597">
        <w:rPr>
          <w:lang w:val="en-US"/>
        </w:rPr>
        <w:t>Phone: 0952-34-2366</w:t>
      </w:r>
      <w:r>
        <w:t xml:space="preserve">　　　</w:t>
      </w:r>
    </w:p>
    <w:p w14:paraId="33ECE8CA" w14:textId="77777777" w:rsidR="002A69E3" w:rsidRPr="00871597" w:rsidRDefault="00424D15">
      <w:pPr>
        <w:ind w:left="2435"/>
        <w:jc w:val="left"/>
        <w:rPr>
          <w:lang w:val="en-US"/>
        </w:rPr>
      </w:pPr>
      <w:r w:rsidRPr="00871597">
        <w:rPr>
          <w:lang w:val="en-US"/>
        </w:rPr>
        <w:t>Fax:   0952-34-2017</w:t>
      </w:r>
    </w:p>
    <w:p w14:paraId="22AB4CA0" w14:textId="32F10431" w:rsidR="002A69E3" w:rsidRPr="00F3420D" w:rsidRDefault="00424D15">
      <w:pPr>
        <w:ind w:left="2435"/>
        <w:jc w:val="left"/>
        <w:rPr>
          <w:lang w:val="en-US"/>
        </w:rPr>
      </w:pPr>
      <w:r w:rsidRPr="00F3420D">
        <w:rPr>
          <w:lang w:val="en-US"/>
        </w:rPr>
        <w:t>e-mail</w:t>
      </w:r>
      <w:r w:rsidR="00B26CBC" w:rsidRPr="00871597">
        <w:rPr>
          <w:lang w:val="en-US"/>
        </w:rPr>
        <w:t xml:space="preserve">: </w:t>
      </w:r>
      <w:r w:rsidRPr="00F3420D">
        <w:rPr>
          <w:lang w:val="en-US"/>
        </w:rPr>
        <w:t>shkimu@cc.saga-u.ac.jp</w:t>
      </w:r>
    </w:p>
    <w:p w14:paraId="20A7554B" w14:textId="77777777" w:rsidR="002A69E3" w:rsidRPr="00F3420D" w:rsidRDefault="002A69E3">
      <w:pPr>
        <w:ind w:left="2655"/>
        <w:jc w:val="left"/>
        <w:rPr>
          <w:lang w:val="en-US"/>
        </w:rPr>
      </w:pPr>
    </w:p>
    <w:p w14:paraId="4E7FD671" w14:textId="77777777" w:rsidR="002A69E3" w:rsidRDefault="00424D15">
      <w:pPr>
        <w:ind w:left="2435"/>
        <w:jc w:val="left"/>
      </w:pPr>
      <w:r>
        <w:t>実施責任：一般社団法人日本血液学会</w:t>
      </w:r>
    </w:p>
    <w:p w14:paraId="19528FBC" w14:textId="77777777" w:rsidR="002A69E3" w:rsidRDefault="00424D15">
      <w:pPr>
        <w:ind w:left="2435"/>
        <w:jc w:val="left"/>
      </w:pPr>
      <w:r>
        <w:t>理事長　赤司</w:t>
      </w:r>
      <w:r w:rsidR="00FB176D">
        <w:rPr>
          <w:rFonts w:hint="eastAsia"/>
        </w:rPr>
        <w:t xml:space="preserve"> </w:t>
      </w:r>
      <w:r>
        <w:t xml:space="preserve">浩一 </w:t>
      </w:r>
    </w:p>
    <w:p w14:paraId="0F60DB3E" w14:textId="77777777" w:rsidR="002A69E3" w:rsidRDefault="00424D15">
      <w:pPr>
        <w:ind w:left="2435"/>
        <w:jc w:val="left"/>
      </w:pPr>
      <w:r>
        <w:t>学術・統計調査委員会委員長　松村</w:t>
      </w:r>
      <w:r w:rsidR="00D127F7">
        <w:rPr>
          <w:rFonts w:hint="eastAsia"/>
        </w:rPr>
        <w:t xml:space="preserve"> </w:t>
      </w:r>
      <w:r>
        <w:t>到</w:t>
      </w:r>
    </w:p>
    <w:p w14:paraId="11C798FE" w14:textId="1FC8D52B" w:rsidR="002A69E3" w:rsidRDefault="00424D15">
      <w:pPr>
        <w:ind w:left="2435"/>
        <w:jc w:val="left"/>
      </w:pPr>
      <w:r>
        <w:t>Phone:</w:t>
      </w:r>
      <w:r>
        <w:tab/>
        <w:t>0</w:t>
      </w:r>
      <w:r w:rsidR="007D172E">
        <w:rPr>
          <w:rFonts w:hint="eastAsia"/>
        </w:rPr>
        <w:t>3</w:t>
      </w:r>
      <w:r>
        <w:t>-</w:t>
      </w:r>
      <w:r w:rsidR="007D172E">
        <w:rPr>
          <w:rFonts w:hint="eastAsia"/>
        </w:rPr>
        <w:t>5844</w:t>
      </w:r>
      <w:r>
        <w:t>-</w:t>
      </w:r>
      <w:r w:rsidR="00E86E22">
        <w:rPr>
          <w:rFonts w:hint="eastAsia"/>
        </w:rPr>
        <w:t>2065</w:t>
      </w:r>
    </w:p>
    <w:p w14:paraId="3144F5FB" w14:textId="008CD9B3" w:rsidR="002A69E3" w:rsidRDefault="00424D15">
      <w:pPr>
        <w:ind w:left="2435"/>
        <w:jc w:val="left"/>
      </w:pPr>
      <w:r>
        <w:t>FAX:</w:t>
      </w:r>
      <w:r>
        <w:tab/>
        <w:t>0</w:t>
      </w:r>
      <w:r w:rsidR="00E86E22">
        <w:rPr>
          <w:rFonts w:hint="eastAsia"/>
        </w:rPr>
        <w:t>3</w:t>
      </w:r>
      <w:r>
        <w:t>-</w:t>
      </w:r>
      <w:r w:rsidR="00E86E22">
        <w:rPr>
          <w:rFonts w:hint="eastAsia"/>
        </w:rPr>
        <w:t>5844</w:t>
      </w:r>
      <w:r>
        <w:t>-</w:t>
      </w:r>
      <w:r w:rsidR="00E86E22">
        <w:rPr>
          <w:rFonts w:hint="eastAsia"/>
        </w:rPr>
        <w:t>2066</w:t>
      </w:r>
    </w:p>
    <w:p w14:paraId="3D9D7061" w14:textId="53229F87" w:rsidR="004513D0" w:rsidRDefault="004513D0">
      <w:r>
        <w:br w:type="page"/>
      </w:r>
    </w:p>
    <w:p w14:paraId="724ECFB6" w14:textId="4F79E044" w:rsidR="002A69E3" w:rsidRDefault="004513D0">
      <w:pPr>
        <w:jc w:val="left"/>
      </w:pPr>
      <w:r>
        <w:rPr>
          <w:rFonts w:hint="eastAsia"/>
        </w:rPr>
        <w:lastRenderedPageBreak/>
        <w:t>改訂履歴</w:t>
      </w:r>
    </w:p>
    <w:p w14:paraId="119D6BBF" w14:textId="77777777" w:rsidR="004513D0" w:rsidRDefault="004513D0" w:rsidP="004513D0">
      <w:pPr>
        <w:jc w:val="left"/>
      </w:pPr>
    </w:p>
    <w:p w14:paraId="5BED1D0B" w14:textId="77777777" w:rsidR="002A69E3" w:rsidRDefault="00424D15" w:rsidP="004513D0">
      <w:pPr>
        <w:jc w:val="left"/>
      </w:pPr>
      <w:r>
        <w:t>2018年1月19日コンセプト最終案　作成</w:t>
      </w:r>
    </w:p>
    <w:p w14:paraId="328006BD" w14:textId="77F0B4F6" w:rsidR="002A69E3" w:rsidRDefault="00424D15" w:rsidP="004513D0">
      <w:pPr>
        <w:jc w:val="left"/>
      </w:pPr>
      <w:r>
        <w:t xml:space="preserve">2019年1月4日　計画書草案　</w:t>
      </w:r>
      <w:r w:rsidR="00DB6CDD">
        <w:t>第0</w:t>
      </w:r>
      <w:r w:rsidR="00DB6CDD">
        <w:rPr>
          <w:rFonts w:hint="eastAsia"/>
        </w:rPr>
        <w:t>.</w:t>
      </w:r>
      <w:r w:rsidR="00DB6CDD">
        <w:t>1版</w:t>
      </w:r>
      <w:r>
        <w:t>作成</w:t>
      </w:r>
    </w:p>
    <w:p w14:paraId="748F4F08" w14:textId="3B35D576" w:rsidR="002A69E3" w:rsidRDefault="00424D15" w:rsidP="004513D0">
      <w:pPr>
        <w:jc w:val="left"/>
      </w:pPr>
      <w:r>
        <w:t xml:space="preserve">2019年1月4日　計画書草案　</w:t>
      </w:r>
      <w:r w:rsidR="00DB6CDD">
        <w:t>第0</w:t>
      </w:r>
      <w:r w:rsidR="00DB6CDD">
        <w:rPr>
          <w:rFonts w:hint="eastAsia"/>
        </w:rPr>
        <w:t>.</w:t>
      </w:r>
      <w:r w:rsidR="00DB6CDD">
        <w:t>2版</w:t>
      </w:r>
      <w:r>
        <w:t>作成</w:t>
      </w:r>
    </w:p>
    <w:p w14:paraId="38D7E5F6" w14:textId="36A52E4B" w:rsidR="002A69E3" w:rsidRDefault="00424D15" w:rsidP="004513D0">
      <w:pPr>
        <w:jc w:val="left"/>
      </w:pPr>
      <w:r>
        <w:t xml:space="preserve">2019年1月7日　計画書草案　</w:t>
      </w:r>
      <w:r w:rsidR="00DB6CDD">
        <w:t>第0</w:t>
      </w:r>
      <w:r w:rsidR="00DB6CDD">
        <w:rPr>
          <w:rFonts w:hint="eastAsia"/>
        </w:rPr>
        <w:t>.</w:t>
      </w:r>
      <w:r w:rsidR="00DB6CDD">
        <w:t>3版</w:t>
      </w:r>
      <w:r>
        <w:t>作成</w:t>
      </w:r>
    </w:p>
    <w:p w14:paraId="4D9DD22D" w14:textId="326BBBF8" w:rsidR="002A69E3" w:rsidRDefault="00424D15" w:rsidP="004513D0">
      <w:pPr>
        <w:jc w:val="left"/>
      </w:pPr>
      <w:r w:rsidRPr="00D820FD">
        <w:t>2019年1月21日　計画書草案　第0</w:t>
      </w:r>
      <w:r w:rsidR="00DB6CDD">
        <w:rPr>
          <w:rFonts w:hint="eastAsia"/>
        </w:rPr>
        <w:t>.</w:t>
      </w:r>
      <w:r w:rsidRPr="00D820FD">
        <w:t>4版</w:t>
      </w:r>
      <w:r w:rsidR="00625D09">
        <w:t>作成</w:t>
      </w:r>
    </w:p>
    <w:p w14:paraId="7C8E7B0D" w14:textId="09F77497" w:rsidR="00DB6CDD" w:rsidRPr="005B56A4" w:rsidRDefault="00625D09" w:rsidP="004513D0">
      <w:pPr>
        <w:wordWrap w:val="0"/>
        <w:jc w:val="left"/>
        <w:rPr>
          <w:lang w:val="en-US"/>
        </w:rPr>
      </w:pPr>
      <w:r w:rsidRPr="005B56A4">
        <w:t>2019</w:t>
      </w:r>
      <w:r w:rsidRPr="005B56A4">
        <w:rPr>
          <w:rFonts w:hint="eastAsia"/>
        </w:rPr>
        <w:t>年</w:t>
      </w:r>
      <w:r w:rsidRPr="005B56A4">
        <w:rPr>
          <w:lang w:val="en-US"/>
        </w:rPr>
        <w:t>1</w:t>
      </w:r>
      <w:r w:rsidRPr="005B56A4">
        <w:rPr>
          <w:rFonts w:hint="eastAsia"/>
          <w:lang w:val="en-US"/>
        </w:rPr>
        <w:t>月</w:t>
      </w:r>
      <w:r w:rsidRPr="005B56A4">
        <w:rPr>
          <w:lang w:val="en-US"/>
        </w:rPr>
        <w:t>26</w:t>
      </w:r>
      <w:r w:rsidRPr="005B56A4">
        <w:rPr>
          <w:rFonts w:hint="eastAsia"/>
          <w:lang w:val="en-US"/>
        </w:rPr>
        <w:t>日　研究計画草案　第</w:t>
      </w:r>
      <w:r w:rsidRPr="005B56A4">
        <w:rPr>
          <w:lang w:val="en-US"/>
        </w:rPr>
        <w:t>0.5</w:t>
      </w:r>
      <w:r w:rsidRPr="005B56A4">
        <w:t>版</w:t>
      </w:r>
      <w:r w:rsidR="00F225FF">
        <w:t>作成</w:t>
      </w:r>
    </w:p>
    <w:p w14:paraId="7B710F87" w14:textId="263CC100" w:rsidR="002D1878" w:rsidRPr="005B56A4" w:rsidRDefault="002D1878" w:rsidP="004513D0">
      <w:pPr>
        <w:wordWrap w:val="0"/>
        <w:jc w:val="left"/>
        <w:rPr>
          <w:lang w:val="en-US"/>
        </w:rPr>
      </w:pPr>
      <w:r w:rsidRPr="005B56A4">
        <w:t>2019</w:t>
      </w:r>
      <w:r w:rsidRPr="005B56A4">
        <w:rPr>
          <w:rFonts w:hint="eastAsia"/>
        </w:rPr>
        <w:t>年</w:t>
      </w:r>
      <w:r w:rsidR="00754708">
        <w:rPr>
          <w:rFonts w:hint="eastAsia"/>
        </w:rPr>
        <w:t>2</w:t>
      </w:r>
      <w:r w:rsidRPr="005B56A4">
        <w:rPr>
          <w:rFonts w:hint="eastAsia"/>
          <w:lang w:val="en-US"/>
        </w:rPr>
        <w:t>月</w:t>
      </w:r>
      <w:r w:rsidR="00754708">
        <w:rPr>
          <w:lang w:val="en-US"/>
        </w:rPr>
        <w:t>2</w:t>
      </w:r>
      <w:r w:rsidR="00754708">
        <w:rPr>
          <w:rFonts w:hint="eastAsia"/>
          <w:lang w:val="en-US"/>
        </w:rPr>
        <w:t>0</w:t>
      </w:r>
      <w:r w:rsidRPr="005B56A4">
        <w:rPr>
          <w:rFonts w:hint="eastAsia"/>
          <w:lang w:val="en-US"/>
        </w:rPr>
        <w:t xml:space="preserve">日　</w:t>
      </w:r>
      <w:bookmarkStart w:id="3" w:name="OLE_LINK21"/>
      <w:bookmarkStart w:id="4" w:name="OLE_LINK22"/>
      <w:r w:rsidRPr="005B56A4">
        <w:rPr>
          <w:rFonts w:hint="eastAsia"/>
          <w:lang w:val="en-US"/>
        </w:rPr>
        <w:t>研究計画草案　第</w:t>
      </w:r>
      <w:r w:rsidRPr="005B56A4">
        <w:rPr>
          <w:lang w:val="en-US"/>
        </w:rPr>
        <w:t>0.</w:t>
      </w:r>
      <w:r w:rsidR="00754708">
        <w:rPr>
          <w:rFonts w:hint="eastAsia"/>
          <w:lang w:val="en-US"/>
        </w:rPr>
        <w:t>6</w:t>
      </w:r>
      <w:r w:rsidRPr="005B56A4">
        <w:t>版</w:t>
      </w:r>
      <w:r w:rsidRPr="005B56A4">
        <w:rPr>
          <w:rFonts w:hint="eastAsia"/>
        </w:rPr>
        <w:t>案</w:t>
      </w:r>
      <w:bookmarkEnd w:id="3"/>
      <w:bookmarkEnd w:id="4"/>
    </w:p>
    <w:p w14:paraId="3F81A11F" w14:textId="77777777" w:rsidR="00332C78" w:rsidRDefault="004513D0" w:rsidP="004513D0">
      <w:pPr>
        <w:jc w:val="left"/>
      </w:pPr>
      <w:r w:rsidRPr="004513D0">
        <w:t>2019年</w:t>
      </w:r>
      <w:r>
        <w:rPr>
          <w:rFonts w:hint="eastAsia"/>
        </w:rPr>
        <w:t>3</w:t>
      </w:r>
      <w:r w:rsidRPr="004513D0">
        <w:t>月</w:t>
      </w:r>
      <w:r>
        <w:rPr>
          <w:rFonts w:hint="eastAsia"/>
        </w:rPr>
        <w:t>15</w:t>
      </w:r>
      <w:r w:rsidRPr="004513D0">
        <w:t>日　研究計画　第</w:t>
      </w:r>
      <w:r>
        <w:rPr>
          <w:rFonts w:hint="eastAsia"/>
        </w:rPr>
        <w:t>１</w:t>
      </w:r>
      <w:r w:rsidRPr="004513D0">
        <w:t>版</w:t>
      </w:r>
    </w:p>
    <w:p w14:paraId="420C19EF" w14:textId="77777777" w:rsidR="00F13753" w:rsidRDefault="00332C78" w:rsidP="004513D0">
      <w:pPr>
        <w:jc w:val="left"/>
        <w:rPr>
          <w:lang w:val="en-US"/>
        </w:rPr>
      </w:pPr>
      <w:r>
        <w:t>2019</w:t>
      </w:r>
      <w:r>
        <w:rPr>
          <w:rFonts w:hint="eastAsia"/>
        </w:rPr>
        <w:t>年</w:t>
      </w:r>
      <w:r>
        <w:rPr>
          <w:lang w:val="en-US"/>
        </w:rPr>
        <w:t>4</w:t>
      </w:r>
      <w:r>
        <w:rPr>
          <w:rFonts w:hint="eastAsia"/>
          <w:lang w:val="en-US"/>
        </w:rPr>
        <w:t>月</w:t>
      </w:r>
      <w:r>
        <w:rPr>
          <w:lang w:val="en-US"/>
        </w:rPr>
        <w:t>26</w:t>
      </w:r>
      <w:r>
        <w:rPr>
          <w:rFonts w:hint="eastAsia"/>
          <w:lang w:val="en-US"/>
        </w:rPr>
        <w:t>日　佐賀大学医学部</w:t>
      </w:r>
      <w:r>
        <w:rPr>
          <w:lang w:val="en-US"/>
        </w:rPr>
        <w:t>IRB</w:t>
      </w:r>
      <w:r>
        <w:rPr>
          <w:rFonts w:hint="eastAsia"/>
          <w:lang w:val="en-US"/>
        </w:rPr>
        <w:t>承認</w:t>
      </w:r>
    </w:p>
    <w:p w14:paraId="09124458" w14:textId="77777777" w:rsidR="00637316" w:rsidRDefault="00F13753" w:rsidP="004513D0">
      <w:pPr>
        <w:jc w:val="left"/>
        <w:rPr>
          <w:lang w:val="en-US"/>
        </w:rPr>
      </w:pPr>
      <w:r>
        <w:rPr>
          <w:lang w:val="en-US"/>
        </w:rPr>
        <w:t>2019</w:t>
      </w:r>
      <w:r>
        <w:rPr>
          <w:rFonts w:hint="eastAsia"/>
          <w:lang w:val="en-US"/>
        </w:rPr>
        <w:t>年6月27日　研究計画　第</w:t>
      </w:r>
      <w:r>
        <w:rPr>
          <w:lang w:val="en-US"/>
        </w:rPr>
        <w:t>1.1</w:t>
      </w:r>
      <w:r>
        <w:rPr>
          <w:rFonts w:hint="eastAsia"/>
          <w:lang w:val="en-US"/>
        </w:rPr>
        <w:t>版</w:t>
      </w:r>
    </w:p>
    <w:p w14:paraId="7EEC63A1" w14:textId="0050F3C4" w:rsidR="002A69E3" w:rsidRDefault="00637316" w:rsidP="004513D0">
      <w:pPr>
        <w:jc w:val="left"/>
        <w:sectPr w:rsidR="002A69E3">
          <w:headerReference w:type="default" r:id="rId11"/>
          <w:footerReference w:type="default" r:id="rId12"/>
          <w:pgSz w:w="11906" w:h="16838"/>
          <w:pgMar w:top="1985" w:right="1701" w:bottom="1701" w:left="1701" w:header="851" w:footer="992" w:gutter="0"/>
          <w:pgNumType w:start="1"/>
          <w:cols w:space="720"/>
        </w:sectPr>
      </w:pPr>
      <w:r>
        <w:rPr>
          <w:rFonts w:hint="eastAsia"/>
          <w:lang w:val="en-US"/>
        </w:rPr>
        <w:t>20</w:t>
      </w:r>
      <w:r w:rsidR="00EB7772">
        <w:rPr>
          <w:rFonts w:hint="eastAsia"/>
          <w:lang w:val="en-US"/>
        </w:rPr>
        <w:t>20</w:t>
      </w:r>
      <w:r>
        <w:rPr>
          <w:rFonts w:hint="eastAsia"/>
          <w:lang w:val="en-US"/>
        </w:rPr>
        <w:t>年</w:t>
      </w:r>
      <w:r w:rsidR="00EB7772">
        <w:rPr>
          <w:rFonts w:hint="eastAsia"/>
          <w:lang w:val="en-US"/>
        </w:rPr>
        <w:t>7</w:t>
      </w:r>
      <w:r>
        <w:rPr>
          <w:rFonts w:hint="eastAsia"/>
          <w:lang w:val="en-US"/>
        </w:rPr>
        <w:t>月</w:t>
      </w:r>
      <w:r w:rsidR="00EB7772">
        <w:rPr>
          <w:rFonts w:hint="eastAsia"/>
          <w:lang w:val="en-US"/>
        </w:rPr>
        <w:t>20</w:t>
      </w:r>
      <w:r>
        <w:rPr>
          <w:rFonts w:hint="eastAsia"/>
          <w:lang w:val="en-US"/>
        </w:rPr>
        <w:t>日　 研究計画　第</w:t>
      </w:r>
      <w:r>
        <w:rPr>
          <w:lang w:val="en-US"/>
        </w:rPr>
        <w:t>1.</w:t>
      </w:r>
      <w:r>
        <w:rPr>
          <w:rFonts w:hint="eastAsia"/>
          <w:lang w:val="en-US"/>
        </w:rPr>
        <w:t xml:space="preserve">2版　　　</w:t>
      </w:r>
      <w:r w:rsidR="00424D15">
        <w:br w:type="page"/>
      </w:r>
      <w:r>
        <w:rPr>
          <w:rFonts w:hint="eastAsia"/>
        </w:rPr>
        <w:lastRenderedPageBreak/>
        <w:t xml:space="preserve">　</w:t>
      </w:r>
    </w:p>
    <w:bookmarkStart w:id="5" w:name="_gjdgxs" w:colFirst="0" w:colLast="0" w:displacedByCustomXml="next"/>
    <w:bookmarkEnd w:id="5" w:displacedByCustomXml="next"/>
    <w:sdt>
      <w:sdtPr>
        <w:rPr>
          <w:rFonts w:ascii="ＭＳ Ｐ明朝" w:eastAsia="ＭＳ Ｐ明朝" w:hAnsi="ＭＳ Ｐ明朝" w:cs="ＭＳ Ｐ明朝"/>
          <w:color w:val="auto"/>
          <w:sz w:val="24"/>
          <w:szCs w:val="24"/>
          <w:lang w:val="ja-JP"/>
        </w:rPr>
        <w:id w:val="-1621066445"/>
        <w:docPartObj>
          <w:docPartGallery w:val="Table of Contents"/>
          <w:docPartUnique/>
        </w:docPartObj>
      </w:sdtPr>
      <w:sdtEndPr>
        <w:rPr>
          <w:rFonts w:eastAsiaTheme="minorEastAsia"/>
          <w:b/>
          <w:bCs/>
        </w:rPr>
      </w:sdtEndPr>
      <w:sdtContent>
        <w:p w14:paraId="4DB71105" w14:textId="77777777" w:rsidR="00DE2C98" w:rsidRPr="00DE2C98" w:rsidRDefault="00DE2C98">
          <w:pPr>
            <w:pStyle w:val="a8"/>
            <w:rPr>
              <w:rStyle w:val="a7"/>
              <w:rFonts w:ascii="ＭＳ Ｐ明朝" w:eastAsia="ＭＳ Ｐ明朝" w:hAnsi="ＭＳ Ｐ明朝" w:cs="ＭＳ Ｐ明朝"/>
              <w:noProof/>
              <w:color w:val="auto"/>
              <w:sz w:val="28"/>
              <w:szCs w:val="24"/>
              <w:u w:val="none"/>
              <w:lang w:val="ja"/>
            </w:rPr>
          </w:pPr>
          <w:r w:rsidRPr="00DE2C98">
            <w:rPr>
              <w:rStyle w:val="a7"/>
              <w:rFonts w:ascii="ＭＳ Ｐ明朝" w:eastAsia="ＭＳ Ｐ明朝" w:hAnsi="ＭＳ Ｐ明朝" w:cs="ＭＳ Ｐ明朝"/>
              <w:noProof/>
              <w:color w:val="auto"/>
              <w:sz w:val="28"/>
              <w:szCs w:val="24"/>
              <w:u w:val="none"/>
              <w:lang w:val="ja"/>
            </w:rPr>
            <w:t>目</w:t>
          </w:r>
          <w:r w:rsidRPr="00DE2C98">
            <w:rPr>
              <w:rStyle w:val="a7"/>
              <w:rFonts w:ascii="ＭＳ Ｐ明朝" w:eastAsia="ＭＳ Ｐ明朝" w:hAnsi="ＭＳ Ｐ明朝" w:cs="ＭＳ Ｐ明朝" w:hint="eastAsia"/>
              <w:noProof/>
              <w:color w:val="auto"/>
              <w:sz w:val="28"/>
              <w:szCs w:val="24"/>
              <w:u w:val="none"/>
              <w:lang w:val="ja"/>
            </w:rPr>
            <w:t xml:space="preserve">　</w:t>
          </w:r>
          <w:r w:rsidRPr="00DE2C98">
            <w:rPr>
              <w:rStyle w:val="a7"/>
              <w:rFonts w:ascii="ＭＳ Ｐ明朝" w:eastAsia="ＭＳ Ｐ明朝" w:hAnsi="ＭＳ Ｐ明朝" w:cs="ＭＳ Ｐ明朝"/>
              <w:noProof/>
              <w:color w:val="auto"/>
              <w:sz w:val="28"/>
              <w:szCs w:val="24"/>
              <w:u w:val="none"/>
              <w:lang w:val="ja"/>
            </w:rPr>
            <w:t>次</w:t>
          </w:r>
        </w:p>
        <w:p w14:paraId="0D0850CC" w14:textId="478377BC" w:rsidR="006F2DB3" w:rsidRDefault="00DE2C98">
          <w:pPr>
            <w:pStyle w:val="11"/>
            <w:tabs>
              <w:tab w:val="right" w:leader="dot" w:pos="8494"/>
            </w:tabs>
            <w:rPr>
              <w:rFonts w:asciiTheme="minorHAnsi" w:hAnsiTheme="minorHAnsi" w:cstheme="minorBidi"/>
              <w:noProof/>
              <w:kern w:val="2"/>
              <w:sz w:val="21"/>
              <w:szCs w:val="22"/>
              <w:lang w:val="en-US"/>
            </w:rPr>
          </w:pPr>
          <w:r>
            <w:fldChar w:fldCharType="begin"/>
          </w:r>
          <w:r>
            <w:instrText xml:space="preserve"> TOC \o "1-3" \h \z \u </w:instrText>
          </w:r>
          <w:r>
            <w:fldChar w:fldCharType="separate"/>
          </w:r>
          <w:hyperlink w:anchor="_Toc12865300" w:history="1">
            <w:r w:rsidR="006F2DB3" w:rsidRPr="00272ED7">
              <w:rPr>
                <w:rStyle w:val="a7"/>
                <w:rFonts w:eastAsia="ＭＳ Ｐ明朝"/>
                <w:noProof/>
              </w:rPr>
              <w:t>0. 概要</w:t>
            </w:r>
            <w:r w:rsidR="006F2DB3">
              <w:rPr>
                <w:noProof/>
                <w:webHidden/>
              </w:rPr>
              <w:tab/>
            </w:r>
            <w:r w:rsidR="006F2DB3">
              <w:rPr>
                <w:noProof/>
                <w:webHidden/>
              </w:rPr>
              <w:fldChar w:fldCharType="begin"/>
            </w:r>
            <w:r w:rsidR="006F2DB3">
              <w:rPr>
                <w:noProof/>
                <w:webHidden/>
              </w:rPr>
              <w:instrText xml:space="preserve"> PAGEREF _Toc12865300 \h </w:instrText>
            </w:r>
            <w:r w:rsidR="006F2DB3">
              <w:rPr>
                <w:noProof/>
                <w:webHidden/>
              </w:rPr>
            </w:r>
            <w:r w:rsidR="006F2DB3">
              <w:rPr>
                <w:noProof/>
                <w:webHidden/>
              </w:rPr>
              <w:fldChar w:fldCharType="separate"/>
            </w:r>
            <w:r w:rsidR="006F2DB3">
              <w:rPr>
                <w:noProof/>
                <w:webHidden/>
              </w:rPr>
              <w:t>6</w:t>
            </w:r>
            <w:r w:rsidR="006F2DB3">
              <w:rPr>
                <w:noProof/>
                <w:webHidden/>
              </w:rPr>
              <w:fldChar w:fldCharType="end"/>
            </w:r>
          </w:hyperlink>
        </w:p>
        <w:p w14:paraId="13106ACB" w14:textId="19753C19" w:rsidR="006F2DB3" w:rsidRDefault="00C57600">
          <w:pPr>
            <w:pStyle w:val="11"/>
            <w:tabs>
              <w:tab w:val="right" w:leader="dot" w:pos="8494"/>
            </w:tabs>
            <w:rPr>
              <w:rFonts w:asciiTheme="minorHAnsi" w:hAnsiTheme="minorHAnsi" w:cstheme="minorBidi"/>
              <w:noProof/>
              <w:kern w:val="2"/>
              <w:sz w:val="21"/>
              <w:szCs w:val="22"/>
              <w:lang w:val="en-US"/>
            </w:rPr>
          </w:pPr>
          <w:hyperlink w:anchor="_Toc12865301" w:history="1">
            <w:r w:rsidR="006F2DB3" w:rsidRPr="00272ED7">
              <w:rPr>
                <w:rStyle w:val="a7"/>
                <w:rFonts w:eastAsia="ＭＳ Ｐ明朝"/>
                <w:noProof/>
              </w:rPr>
              <w:t>１．背景</w:t>
            </w:r>
            <w:r w:rsidR="006F2DB3">
              <w:rPr>
                <w:noProof/>
                <w:webHidden/>
              </w:rPr>
              <w:tab/>
            </w:r>
            <w:r w:rsidR="006F2DB3">
              <w:rPr>
                <w:noProof/>
                <w:webHidden/>
              </w:rPr>
              <w:fldChar w:fldCharType="begin"/>
            </w:r>
            <w:r w:rsidR="006F2DB3">
              <w:rPr>
                <w:noProof/>
                <w:webHidden/>
              </w:rPr>
              <w:instrText xml:space="preserve"> PAGEREF _Toc12865301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77DDA890" w14:textId="75DAF3A7" w:rsidR="006F2DB3" w:rsidRDefault="00C57600">
          <w:pPr>
            <w:pStyle w:val="20"/>
            <w:tabs>
              <w:tab w:val="right" w:leader="dot" w:pos="8494"/>
            </w:tabs>
            <w:rPr>
              <w:rFonts w:asciiTheme="minorHAnsi" w:hAnsiTheme="minorHAnsi" w:cstheme="minorBidi"/>
              <w:noProof/>
              <w:kern w:val="2"/>
              <w:sz w:val="21"/>
              <w:szCs w:val="22"/>
              <w:lang w:val="en-US"/>
            </w:rPr>
          </w:pPr>
          <w:hyperlink w:anchor="_Toc12865302" w:history="1">
            <w:r w:rsidR="006F2DB3" w:rsidRPr="00272ED7">
              <w:rPr>
                <w:rStyle w:val="a7"/>
                <w:rFonts w:eastAsia="ＭＳ Ｐ明朝"/>
                <w:noProof/>
              </w:rPr>
              <w:t>1.1．対象疾患</w:t>
            </w:r>
            <w:r w:rsidR="006F2DB3">
              <w:rPr>
                <w:noProof/>
                <w:webHidden/>
              </w:rPr>
              <w:tab/>
            </w:r>
            <w:r w:rsidR="006F2DB3">
              <w:rPr>
                <w:noProof/>
                <w:webHidden/>
              </w:rPr>
              <w:fldChar w:fldCharType="begin"/>
            </w:r>
            <w:r w:rsidR="006F2DB3">
              <w:rPr>
                <w:noProof/>
                <w:webHidden/>
              </w:rPr>
              <w:instrText xml:space="preserve"> PAGEREF _Toc12865302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0D988CB5" w14:textId="6F00C248" w:rsidR="006F2DB3" w:rsidRDefault="00C57600">
          <w:pPr>
            <w:pStyle w:val="20"/>
            <w:tabs>
              <w:tab w:val="right" w:leader="dot" w:pos="8494"/>
            </w:tabs>
            <w:rPr>
              <w:rFonts w:asciiTheme="minorHAnsi" w:hAnsiTheme="minorHAnsi" w:cstheme="minorBidi"/>
              <w:noProof/>
              <w:kern w:val="2"/>
              <w:sz w:val="21"/>
              <w:szCs w:val="22"/>
              <w:lang w:val="en-US"/>
            </w:rPr>
          </w:pPr>
          <w:hyperlink w:anchor="_Toc12865303" w:history="1">
            <w:r w:rsidR="006F2DB3" w:rsidRPr="00272ED7">
              <w:rPr>
                <w:rStyle w:val="a7"/>
                <w:rFonts w:eastAsia="ＭＳ Ｐ明朝"/>
                <w:noProof/>
              </w:rPr>
              <w:t>1.2．チロシンキナーゼ阻害薬（TKI）の概要と標準治療</w:t>
            </w:r>
            <w:r w:rsidR="006F2DB3">
              <w:rPr>
                <w:noProof/>
                <w:webHidden/>
              </w:rPr>
              <w:tab/>
            </w:r>
            <w:r w:rsidR="006F2DB3">
              <w:rPr>
                <w:noProof/>
                <w:webHidden/>
              </w:rPr>
              <w:fldChar w:fldCharType="begin"/>
            </w:r>
            <w:r w:rsidR="006F2DB3">
              <w:rPr>
                <w:noProof/>
                <w:webHidden/>
              </w:rPr>
              <w:instrText xml:space="preserve"> PAGEREF _Toc12865303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305AC0EA" w14:textId="5EB092DE" w:rsidR="006F2DB3" w:rsidRDefault="00C57600">
          <w:pPr>
            <w:pStyle w:val="20"/>
            <w:tabs>
              <w:tab w:val="right" w:leader="dot" w:pos="8494"/>
            </w:tabs>
            <w:rPr>
              <w:rFonts w:asciiTheme="minorHAnsi" w:hAnsiTheme="minorHAnsi" w:cstheme="minorBidi"/>
              <w:noProof/>
              <w:kern w:val="2"/>
              <w:sz w:val="21"/>
              <w:szCs w:val="22"/>
              <w:lang w:val="en-US"/>
            </w:rPr>
          </w:pPr>
          <w:hyperlink w:anchor="_Toc12865304" w:history="1">
            <w:r w:rsidR="006F2DB3" w:rsidRPr="00272ED7">
              <w:rPr>
                <w:rStyle w:val="a7"/>
                <w:rFonts w:eastAsia="ＭＳ Ｐ明朝"/>
                <w:noProof/>
              </w:rPr>
              <w:t>1.3．本研究計画設定の根拠</w:t>
            </w:r>
            <w:r w:rsidR="006F2DB3">
              <w:rPr>
                <w:noProof/>
                <w:webHidden/>
              </w:rPr>
              <w:tab/>
            </w:r>
            <w:r w:rsidR="006F2DB3">
              <w:rPr>
                <w:noProof/>
                <w:webHidden/>
              </w:rPr>
              <w:fldChar w:fldCharType="begin"/>
            </w:r>
            <w:r w:rsidR="006F2DB3">
              <w:rPr>
                <w:noProof/>
                <w:webHidden/>
              </w:rPr>
              <w:instrText xml:space="preserve"> PAGEREF _Toc12865304 \h </w:instrText>
            </w:r>
            <w:r w:rsidR="006F2DB3">
              <w:rPr>
                <w:noProof/>
                <w:webHidden/>
              </w:rPr>
            </w:r>
            <w:r w:rsidR="006F2DB3">
              <w:rPr>
                <w:noProof/>
                <w:webHidden/>
              </w:rPr>
              <w:fldChar w:fldCharType="separate"/>
            </w:r>
            <w:r w:rsidR="006F2DB3">
              <w:rPr>
                <w:noProof/>
                <w:webHidden/>
              </w:rPr>
              <w:t>13</w:t>
            </w:r>
            <w:r w:rsidR="006F2DB3">
              <w:rPr>
                <w:noProof/>
                <w:webHidden/>
              </w:rPr>
              <w:fldChar w:fldCharType="end"/>
            </w:r>
          </w:hyperlink>
        </w:p>
        <w:p w14:paraId="24A79D96" w14:textId="55B7991A" w:rsidR="006F2DB3" w:rsidRDefault="00C57600">
          <w:pPr>
            <w:pStyle w:val="20"/>
            <w:tabs>
              <w:tab w:val="right" w:leader="dot" w:pos="8494"/>
            </w:tabs>
            <w:rPr>
              <w:rFonts w:asciiTheme="minorHAnsi" w:hAnsiTheme="minorHAnsi" w:cstheme="minorBidi"/>
              <w:noProof/>
              <w:kern w:val="2"/>
              <w:sz w:val="21"/>
              <w:szCs w:val="22"/>
              <w:lang w:val="en-US"/>
            </w:rPr>
          </w:pPr>
          <w:hyperlink w:anchor="_Toc12865305" w:history="1">
            <w:r w:rsidR="006F2DB3" w:rsidRPr="00272ED7">
              <w:rPr>
                <w:rStyle w:val="a7"/>
                <w:rFonts w:eastAsia="ＭＳ Ｐ明朝"/>
                <w:noProof/>
              </w:rPr>
              <w:t>1.4．本研究の意義</w:t>
            </w:r>
            <w:r w:rsidR="006F2DB3">
              <w:rPr>
                <w:noProof/>
                <w:webHidden/>
              </w:rPr>
              <w:tab/>
            </w:r>
            <w:r w:rsidR="006F2DB3">
              <w:rPr>
                <w:noProof/>
                <w:webHidden/>
              </w:rPr>
              <w:fldChar w:fldCharType="begin"/>
            </w:r>
            <w:r w:rsidR="006F2DB3">
              <w:rPr>
                <w:noProof/>
                <w:webHidden/>
              </w:rPr>
              <w:instrText xml:space="preserve"> PAGEREF _Toc12865305 \h </w:instrText>
            </w:r>
            <w:r w:rsidR="006F2DB3">
              <w:rPr>
                <w:noProof/>
                <w:webHidden/>
              </w:rPr>
            </w:r>
            <w:r w:rsidR="006F2DB3">
              <w:rPr>
                <w:noProof/>
                <w:webHidden/>
              </w:rPr>
              <w:fldChar w:fldCharType="separate"/>
            </w:r>
            <w:r w:rsidR="006F2DB3">
              <w:rPr>
                <w:noProof/>
                <w:webHidden/>
              </w:rPr>
              <w:t>14</w:t>
            </w:r>
            <w:r w:rsidR="006F2DB3">
              <w:rPr>
                <w:noProof/>
                <w:webHidden/>
              </w:rPr>
              <w:fldChar w:fldCharType="end"/>
            </w:r>
          </w:hyperlink>
        </w:p>
        <w:p w14:paraId="4D554F65" w14:textId="74432C43" w:rsidR="006F2DB3" w:rsidRDefault="00C57600">
          <w:pPr>
            <w:pStyle w:val="11"/>
            <w:tabs>
              <w:tab w:val="right" w:leader="dot" w:pos="8494"/>
            </w:tabs>
            <w:rPr>
              <w:rFonts w:asciiTheme="minorHAnsi" w:hAnsiTheme="minorHAnsi" w:cstheme="minorBidi"/>
              <w:noProof/>
              <w:kern w:val="2"/>
              <w:sz w:val="21"/>
              <w:szCs w:val="22"/>
              <w:lang w:val="en-US"/>
            </w:rPr>
          </w:pPr>
          <w:hyperlink w:anchor="_Toc12865306" w:history="1">
            <w:r w:rsidR="006F2DB3" w:rsidRPr="00272ED7">
              <w:rPr>
                <w:rStyle w:val="a7"/>
                <w:noProof/>
              </w:rPr>
              <w:t>2．研究目的</w:t>
            </w:r>
            <w:r w:rsidR="006F2DB3">
              <w:rPr>
                <w:noProof/>
                <w:webHidden/>
              </w:rPr>
              <w:tab/>
            </w:r>
            <w:r w:rsidR="006F2DB3">
              <w:rPr>
                <w:noProof/>
                <w:webHidden/>
              </w:rPr>
              <w:fldChar w:fldCharType="begin"/>
            </w:r>
            <w:r w:rsidR="006F2DB3">
              <w:rPr>
                <w:noProof/>
                <w:webHidden/>
              </w:rPr>
              <w:instrText xml:space="preserve"> PAGEREF _Toc12865306 \h </w:instrText>
            </w:r>
            <w:r w:rsidR="006F2DB3">
              <w:rPr>
                <w:noProof/>
                <w:webHidden/>
              </w:rPr>
            </w:r>
            <w:r w:rsidR="006F2DB3">
              <w:rPr>
                <w:noProof/>
                <w:webHidden/>
              </w:rPr>
              <w:fldChar w:fldCharType="separate"/>
            </w:r>
            <w:r w:rsidR="006F2DB3">
              <w:rPr>
                <w:noProof/>
                <w:webHidden/>
              </w:rPr>
              <w:t>14</w:t>
            </w:r>
            <w:r w:rsidR="006F2DB3">
              <w:rPr>
                <w:noProof/>
                <w:webHidden/>
              </w:rPr>
              <w:fldChar w:fldCharType="end"/>
            </w:r>
          </w:hyperlink>
        </w:p>
        <w:p w14:paraId="5CD3AF9B" w14:textId="40731790" w:rsidR="006F2DB3" w:rsidRDefault="00C57600">
          <w:pPr>
            <w:pStyle w:val="11"/>
            <w:tabs>
              <w:tab w:val="right" w:leader="dot" w:pos="8494"/>
            </w:tabs>
            <w:rPr>
              <w:rFonts w:asciiTheme="minorHAnsi" w:hAnsiTheme="minorHAnsi" w:cstheme="minorBidi"/>
              <w:noProof/>
              <w:kern w:val="2"/>
              <w:sz w:val="21"/>
              <w:szCs w:val="22"/>
              <w:lang w:val="en-US"/>
            </w:rPr>
          </w:pPr>
          <w:hyperlink w:anchor="_Toc12865307" w:history="1">
            <w:r w:rsidR="006F2DB3" w:rsidRPr="00272ED7">
              <w:rPr>
                <w:rStyle w:val="a7"/>
                <w:noProof/>
              </w:rPr>
              <w:t>3．研究デザイン</w:t>
            </w:r>
            <w:r w:rsidR="006F2DB3">
              <w:rPr>
                <w:noProof/>
                <w:webHidden/>
              </w:rPr>
              <w:tab/>
            </w:r>
            <w:r w:rsidR="006F2DB3">
              <w:rPr>
                <w:noProof/>
                <w:webHidden/>
              </w:rPr>
              <w:fldChar w:fldCharType="begin"/>
            </w:r>
            <w:r w:rsidR="006F2DB3">
              <w:rPr>
                <w:noProof/>
                <w:webHidden/>
              </w:rPr>
              <w:instrText xml:space="preserve"> PAGEREF _Toc12865307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4004A5F3" w14:textId="12F33FC7" w:rsidR="006F2DB3" w:rsidRDefault="00C57600">
          <w:pPr>
            <w:pStyle w:val="11"/>
            <w:tabs>
              <w:tab w:val="right" w:leader="dot" w:pos="8494"/>
            </w:tabs>
            <w:rPr>
              <w:rFonts w:asciiTheme="minorHAnsi" w:hAnsiTheme="minorHAnsi" w:cstheme="minorBidi"/>
              <w:noProof/>
              <w:kern w:val="2"/>
              <w:sz w:val="21"/>
              <w:szCs w:val="22"/>
              <w:lang w:val="en-US"/>
            </w:rPr>
          </w:pPr>
          <w:hyperlink w:anchor="_Toc12865308" w:history="1">
            <w:r w:rsidR="006F2DB3" w:rsidRPr="00272ED7">
              <w:rPr>
                <w:rStyle w:val="a7"/>
                <w:noProof/>
              </w:rPr>
              <w:t>4．対象（適格基準）</w:t>
            </w:r>
            <w:r w:rsidR="006F2DB3">
              <w:rPr>
                <w:noProof/>
                <w:webHidden/>
              </w:rPr>
              <w:tab/>
            </w:r>
            <w:r w:rsidR="006F2DB3">
              <w:rPr>
                <w:noProof/>
                <w:webHidden/>
              </w:rPr>
              <w:fldChar w:fldCharType="begin"/>
            </w:r>
            <w:r w:rsidR="006F2DB3">
              <w:rPr>
                <w:noProof/>
                <w:webHidden/>
              </w:rPr>
              <w:instrText xml:space="preserve"> PAGEREF _Toc12865308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0D5F308D" w14:textId="716564CC" w:rsidR="006F2DB3" w:rsidRDefault="00C57600">
          <w:pPr>
            <w:pStyle w:val="20"/>
            <w:tabs>
              <w:tab w:val="right" w:leader="dot" w:pos="8494"/>
            </w:tabs>
            <w:rPr>
              <w:rFonts w:asciiTheme="minorHAnsi" w:hAnsiTheme="minorHAnsi" w:cstheme="minorBidi"/>
              <w:noProof/>
              <w:kern w:val="2"/>
              <w:sz w:val="21"/>
              <w:szCs w:val="22"/>
              <w:lang w:val="en-US"/>
            </w:rPr>
          </w:pPr>
          <w:hyperlink w:anchor="_Toc12865309" w:history="1">
            <w:r w:rsidR="006F2DB3" w:rsidRPr="00272ED7">
              <w:rPr>
                <w:rStyle w:val="a7"/>
                <w:noProof/>
              </w:rPr>
              <w:t>4.1. 登録適格基準</w:t>
            </w:r>
            <w:r w:rsidR="006F2DB3">
              <w:rPr>
                <w:noProof/>
                <w:webHidden/>
              </w:rPr>
              <w:tab/>
            </w:r>
            <w:r w:rsidR="006F2DB3">
              <w:rPr>
                <w:noProof/>
                <w:webHidden/>
              </w:rPr>
              <w:fldChar w:fldCharType="begin"/>
            </w:r>
            <w:r w:rsidR="006F2DB3">
              <w:rPr>
                <w:noProof/>
                <w:webHidden/>
              </w:rPr>
              <w:instrText xml:space="preserve"> PAGEREF _Toc12865309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17D63976" w14:textId="074B7CC2" w:rsidR="006F2DB3" w:rsidRDefault="00C57600">
          <w:pPr>
            <w:pStyle w:val="20"/>
            <w:tabs>
              <w:tab w:val="right" w:leader="dot" w:pos="8494"/>
            </w:tabs>
            <w:rPr>
              <w:rFonts w:asciiTheme="minorHAnsi" w:hAnsiTheme="minorHAnsi" w:cstheme="minorBidi"/>
              <w:noProof/>
              <w:kern w:val="2"/>
              <w:sz w:val="21"/>
              <w:szCs w:val="22"/>
              <w:lang w:val="en-US"/>
            </w:rPr>
          </w:pPr>
          <w:hyperlink w:anchor="_Toc12865310" w:history="1">
            <w:r w:rsidR="006F2DB3" w:rsidRPr="00272ED7">
              <w:rPr>
                <w:rStyle w:val="a7"/>
                <w:noProof/>
              </w:rPr>
              <w:t>4.2. 登録除外基準</w:t>
            </w:r>
            <w:r w:rsidR="006F2DB3">
              <w:rPr>
                <w:noProof/>
                <w:webHidden/>
              </w:rPr>
              <w:tab/>
            </w:r>
            <w:r w:rsidR="006F2DB3">
              <w:rPr>
                <w:noProof/>
                <w:webHidden/>
              </w:rPr>
              <w:fldChar w:fldCharType="begin"/>
            </w:r>
            <w:r w:rsidR="006F2DB3">
              <w:rPr>
                <w:noProof/>
                <w:webHidden/>
              </w:rPr>
              <w:instrText xml:space="preserve"> PAGEREF _Toc12865310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10672C1A" w14:textId="64CB0F07" w:rsidR="006F2DB3" w:rsidRDefault="00C57600">
          <w:pPr>
            <w:pStyle w:val="20"/>
            <w:tabs>
              <w:tab w:val="right" w:leader="dot" w:pos="8494"/>
            </w:tabs>
            <w:rPr>
              <w:rFonts w:asciiTheme="minorHAnsi" w:hAnsiTheme="minorHAnsi" w:cstheme="minorBidi"/>
              <w:noProof/>
              <w:kern w:val="2"/>
              <w:sz w:val="21"/>
              <w:szCs w:val="22"/>
              <w:lang w:val="en-US"/>
            </w:rPr>
          </w:pPr>
          <w:hyperlink w:anchor="_Toc12865311" w:history="1">
            <w:r w:rsidR="006F2DB3" w:rsidRPr="00272ED7">
              <w:rPr>
                <w:rStyle w:val="a7"/>
                <w:noProof/>
              </w:rPr>
              <w:t>4.3. 他の臨床試験への登録</w:t>
            </w:r>
            <w:r w:rsidR="006F2DB3">
              <w:rPr>
                <w:noProof/>
                <w:webHidden/>
              </w:rPr>
              <w:tab/>
            </w:r>
            <w:r w:rsidR="006F2DB3">
              <w:rPr>
                <w:noProof/>
                <w:webHidden/>
              </w:rPr>
              <w:fldChar w:fldCharType="begin"/>
            </w:r>
            <w:r w:rsidR="006F2DB3">
              <w:rPr>
                <w:noProof/>
                <w:webHidden/>
              </w:rPr>
              <w:instrText xml:space="preserve"> PAGEREF _Toc12865311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611398D1" w14:textId="5CD81B68" w:rsidR="006F2DB3" w:rsidRDefault="00C57600">
          <w:pPr>
            <w:pStyle w:val="11"/>
            <w:tabs>
              <w:tab w:val="right" w:leader="dot" w:pos="8494"/>
            </w:tabs>
            <w:rPr>
              <w:rFonts w:asciiTheme="minorHAnsi" w:hAnsiTheme="minorHAnsi" w:cstheme="minorBidi"/>
              <w:noProof/>
              <w:kern w:val="2"/>
              <w:sz w:val="21"/>
              <w:szCs w:val="22"/>
              <w:lang w:val="en-US"/>
            </w:rPr>
          </w:pPr>
          <w:hyperlink w:anchor="_Toc12865312" w:history="1">
            <w:r w:rsidR="006F2DB3" w:rsidRPr="00272ED7">
              <w:rPr>
                <w:rStyle w:val="a7"/>
                <w:noProof/>
                <w:lang w:val="en-US"/>
              </w:rPr>
              <w:t>5．</w:t>
            </w:r>
            <w:r w:rsidR="006F2DB3" w:rsidRPr="00272ED7">
              <w:rPr>
                <w:rStyle w:val="a7"/>
                <w:noProof/>
              </w:rPr>
              <w:t>評価項目</w:t>
            </w:r>
            <w:r w:rsidR="006F2DB3">
              <w:rPr>
                <w:noProof/>
                <w:webHidden/>
              </w:rPr>
              <w:tab/>
            </w:r>
            <w:r w:rsidR="006F2DB3">
              <w:rPr>
                <w:noProof/>
                <w:webHidden/>
              </w:rPr>
              <w:fldChar w:fldCharType="begin"/>
            </w:r>
            <w:r w:rsidR="006F2DB3">
              <w:rPr>
                <w:noProof/>
                <w:webHidden/>
              </w:rPr>
              <w:instrText xml:space="preserve"> PAGEREF _Toc12865312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47DA6CAE" w14:textId="34D45351" w:rsidR="006F2DB3" w:rsidRDefault="00C57600">
          <w:pPr>
            <w:pStyle w:val="20"/>
            <w:tabs>
              <w:tab w:val="right" w:leader="dot" w:pos="8494"/>
            </w:tabs>
            <w:rPr>
              <w:rFonts w:asciiTheme="minorHAnsi" w:hAnsiTheme="minorHAnsi" w:cstheme="minorBidi"/>
              <w:noProof/>
              <w:kern w:val="2"/>
              <w:sz w:val="21"/>
              <w:szCs w:val="22"/>
              <w:lang w:val="en-US"/>
            </w:rPr>
          </w:pPr>
          <w:hyperlink w:anchor="_Toc12865313" w:history="1">
            <w:r w:rsidR="006F2DB3" w:rsidRPr="00272ED7">
              <w:rPr>
                <w:rStyle w:val="a7"/>
                <w:noProof/>
                <w:lang w:val="en-US"/>
              </w:rPr>
              <w:t>5.1．</w:t>
            </w:r>
            <w:r w:rsidR="006F2DB3" w:rsidRPr="00272ED7">
              <w:rPr>
                <w:rStyle w:val="a7"/>
                <w:noProof/>
              </w:rPr>
              <w:t xml:space="preserve">主要評価項目　</w:t>
            </w:r>
            <w:r w:rsidR="006F2DB3" w:rsidRPr="00272ED7">
              <w:rPr>
                <w:rStyle w:val="a7"/>
                <w:noProof/>
                <w:lang w:val="en-US"/>
              </w:rPr>
              <w:t>（Primary endpoint）</w:t>
            </w:r>
            <w:r w:rsidR="006F2DB3">
              <w:rPr>
                <w:noProof/>
                <w:webHidden/>
              </w:rPr>
              <w:tab/>
            </w:r>
            <w:r w:rsidR="006F2DB3">
              <w:rPr>
                <w:noProof/>
                <w:webHidden/>
              </w:rPr>
              <w:fldChar w:fldCharType="begin"/>
            </w:r>
            <w:r w:rsidR="006F2DB3">
              <w:rPr>
                <w:noProof/>
                <w:webHidden/>
              </w:rPr>
              <w:instrText xml:space="preserve"> PAGEREF _Toc12865313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2188387D" w14:textId="7119DF86" w:rsidR="006F2DB3" w:rsidRDefault="00C57600">
          <w:pPr>
            <w:pStyle w:val="20"/>
            <w:tabs>
              <w:tab w:val="right" w:leader="dot" w:pos="8494"/>
            </w:tabs>
            <w:rPr>
              <w:rFonts w:asciiTheme="minorHAnsi" w:hAnsiTheme="minorHAnsi" w:cstheme="minorBidi"/>
              <w:noProof/>
              <w:kern w:val="2"/>
              <w:sz w:val="21"/>
              <w:szCs w:val="22"/>
              <w:lang w:val="en-US"/>
            </w:rPr>
          </w:pPr>
          <w:hyperlink w:anchor="_Toc12865314" w:history="1">
            <w:r w:rsidR="006F2DB3" w:rsidRPr="00272ED7">
              <w:rPr>
                <w:rStyle w:val="a7"/>
                <w:noProof/>
                <w:lang w:val="en-US"/>
              </w:rPr>
              <w:t>5.2．</w:t>
            </w:r>
            <w:r w:rsidR="006F2DB3" w:rsidRPr="00272ED7">
              <w:rPr>
                <w:rStyle w:val="a7"/>
                <w:noProof/>
              </w:rPr>
              <w:t>副次的評価項目</w:t>
            </w:r>
            <w:r w:rsidR="006F2DB3" w:rsidRPr="00272ED7">
              <w:rPr>
                <w:rStyle w:val="a7"/>
                <w:noProof/>
                <w:lang w:val="en-US"/>
              </w:rPr>
              <w:t>（Secondary endpoint）</w:t>
            </w:r>
            <w:r w:rsidR="006F2DB3">
              <w:rPr>
                <w:noProof/>
                <w:webHidden/>
              </w:rPr>
              <w:tab/>
            </w:r>
            <w:r w:rsidR="006F2DB3">
              <w:rPr>
                <w:noProof/>
                <w:webHidden/>
              </w:rPr>
              <w:fldChar w:fldCharType="begin"/>
            </w:r>
            <w:r w:rsidR="006F2DB3">
              <w:rPr>
                <w:noProof/>
                <w:webHidden/>
              </w:rPr>
              <w:instrText xml:space="preserve"> PAGEREF _Toc12865314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01EBCEC2" w14:textId="5D86487D" w:rsidR="006F2DB3" w:rsidRDefault="00C57600">
          <w:pPr>
            <w:pStyle w:val="20"/>
            <w:tabs>
              <w:tab w:val="right" w:leader="dot" w:pos="8494"/>
            </w:tabs>
            <w:rPr>
              <w:rFonts w:asciiTheme="minorHAnsi" w:hAnsiTheme="minorHAnsi" w:cstheme="minorBidi"/>
              <w:noProof/>
              <w:kern w:val="2"/>
              <w:sz w:val="21"/>
              <w:szCs w:val="22"/>
              <w:lang w:val="en-US"/>
            </w:rPr>
          </w:pPr>
          <w:hyperlink w:anchor="_Toc12865315" w:history="1">
            <w:r w:rsidR="006F2DB3" w:rsidRPr="00272ED7">
              <w:rPr>
                <w:rStyle w:val="a7"/>
                <w:noProof/>
                <w:lang w:val="en-US"/>
              </w:rPr>
              <w:t>5.3．</w:t>
            </w:r>
            <w:r w:rsidR="006F2DB3" w:rsidRPr="00272ED7">
              <w:rPr>
                <w:rStyle w:val="a7"/>
                <w:noProof/>
              </w:rPr>
              <w:t>探索的評価項目</w:t>
            </w:r>
            <w:r w:rsidR="006F2DB3" w:rsidRPr="00272ED7">
              <w:rPr>
                <w:rStyle w:val="a7"/>
                <w:noProof/>
                <w:lang w:val="en-US"/>
              </w:rPr>
              <w:t>（Exploratory endpoint）</w:t>
            </w:r>
            <w:r w:rsidR="006F2DB3">
              <w:rPr>
                <w:noProof/>
                <w:webHidden/>
              </w:rPr>
              <w:tab/>
            </w:r>
            <w:r w:rsidR="006F2DB3">
              <w:rPr>
                <w:noProof/>
                <w:webHidden/>
              </w:rPr>
              <w:fldChar w:fldCharType="begin"/>
            </w:r>
            <w:r w:rsidR="006F2DB3">
              <w:rPr>
                <w:noProof/>
                <w:webHidden/>
              </w:rPr>
              <w:instrText xml:space="preserve"> PAGEREF _Toc12865315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4E67968F" w14:textId="4CEFA227" w:rsidR="006F2DB3" w:rsidRDefault="00C57600">
          <w:pPr>
            <w:pStyle w:val="11"/>
            <w:tabs>
              <w:tab w:val="right" w:leader="dot" w:pos="8494"/>
            </w:tabs>
            <w:rPr>
              <w:rFonts w:asciiTheme="minorHAnsi" w:hAnsiTheme="minorHAnsi" w:cstheme="minorBidi"/>
              <w:noProof/>
              <w:kern w:val="2"/>
              <w:sz w:val="21"/>
              <w:szCs w:val="22"/>
              <w:lang w:val="en-US"/>
            </w:rPr>
          </w:pPr>
          <w:hyperlink w:anchor="_Toc12865316" w:history="1">
            <w:r w:rsidR="006F2DB3" w:rsidRPr="00272ED7">
              <w:rPr>
                <w:rStyle w:val="a7"/>
                <w:noProof/>
              </w:rPr>
              <w:t>6．研究スケジュール</w:t>
            </w:r>
            <w:r w:rsidR="006F2DB3">
              <w:rPr>
                <w:noProof/>
                <w:webHidden/>
              </w:rPr>
              <w:tab/>
            </w:r>
            <w:r w:rsidR="006F2DB3">
              <w:rPr>
                <w:noProof/>
                <w:webHidden/>
              </w:rPr>
              <w:fldChar w:fldCharType="begin"/>
            </w:r>
            <w:r w:rsidR="006F2DB3">
              <w:rPr>
                <w:noProof/>
                <w:webHidden/>
              </w:rPr>
              <w:instrText xml:space="preserve"> PAGEREF _Toc12865316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7707BAA0" w14:textId="23927411" w:rsidR="006F2DB3" w:rsidRDefault="00C57600">
          <w:pPr>
            <w:pStyle w:val="20"/>
            <w:tabs>
              <w:tab w:val="right" w:leader="dot" w:pos="8494"/>
            </w:tabs>
            <w:rPr>
              <w:rFonts w:asciiTheme="minorHAnsi" w:hAnsiTheme="minorHAnsi" w:cstheme="minorBidi"/>
              <w:noProof/>
              <w:kern w:val="2"/>
              <w:sz w:val="21"/>
              <w:szCs w:val="22"/>
              <w:lang w:val="en-US"/>
            </w:rPr>
          </w:pPr>
          <w:hyperlink w:anchor="_Toc12865317" w:history="1">
            <w:r w:rsidR="006F2DB3" w:rsidRPr="00272ED7">
              <w:rPr>
                <w:rStyle w:val="a7"/>
                <w:noProof/>
              </w:rPr>
              <w:t>6.1．CML発症時</w:t>
            </w:r>
            <w:r w:rsidR="006F2DB3">
              <w:rPr>
                <w:noProof/>
                <w:webHidden/>
              </w:rPr>
              <w:tab/>
            </w:r>
            <w:r w:rsidR="006F2DB3">
              <w:rPr>
                <w:noProof/>
                <w:webHidden/>
              </w:rPr>
              <w:fldChar w:fldCharType="begin"/>
            </w:r>
            <w:r w:rsidR="006F2DB3">
              <w:rPr>
                <w:noProof/>
                <w:webHidden/>
              </w:rPr>
              <w:instrText xml:space="preserve"> PAGEREF _Toc12865317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7E8F7253" w14:textId="45436F16" w:rsidR="006F2DB3" w:rsidRDefault="00C57600">
          <w:pPr>
            <w:pStyle w:val="20"/>
            <w:tabs>
              <w:tab w:val="right" w:leader="dot" w:pos="8494"/>
            </w:tabs>
            <w:rPr>
              <w:rFonts w:asciiTheme="minorHAnsi" w:hAnsiTheme="minorHAnsi" w:cstheme="minorBidi"/>
              <w:noProof/>
              <w:kern w:val="2"/>
              <w:sz w:val="21"/>
              <w:szCs w:val="22"/>
              <w:lang w:val="en-US"/>
            </w:rPr>
          </w:pPr>
          <w:hyperlink w:anchor="_Toc12865318" w:history="1">
            <w:r w:rsidR="006F2DB3" w:rsidRPr="00272ED7">
              <w:rPr>
                <w:rStyle w:val="a7"/>
                <w:noProof/>
              </w:rPr>
              <w:t>6.2.　TKI治療の中止時</w:t>
            </w:r>
            <w:r w:rsidR="006F2DB3">
              <w:rPr>
                <w:noProof/>
                <w:webHidden/>
              </w:rPr>
              <w:tab/>
            </w:r>
            <w:r w:rsidR="006F2DB3">
              <w:rPr>
                <w:noProof/>
                <w:webHidden/>
              </w:rPr>
              <w:fldChar w:fldCharType="begin"/>
            </w:r>
            <w:r w:rsidR="006F2DB3">
              <w:rPr>
                <w:noProof/>
                <w:webHidden/>
              </w:rPr>
              <w:instrText xml:space="preserve"> PAGEREF _Toc12865318 \h </w:instrText>
            </w:r>
            <w:r w:rsidR="006F2DB3">
              <w:rPr>
                <w:noProof/>
                <w:webHidden/>
              </w:rPr>
            </w:r>
            <w:r w:rsidR="006F2DB3">
              <w:rPr>
                <w:noProof/>
                <w:webHidden/>
              </w:rPr>
              <w:fldChar w:fldCharType="separate"/>
            </w:r>
            <w:r w:rsidR="006F2DB3">
              <w:rPr>
                <w:noProof/>
                <w:webHidden/>
              </w:rPr>
              <w:t>17</w:t>
            </w:r>
            <w:r w:rsidR="006F2DB3">
              <w:rPr>
                <w:noProof/>
                <w:webHidden/>
              </w:rPr>
              <w:fldChar w:fldCharType="end"/>
            </w:r>
          </w:hyperlink>
        </w:p>
        <w:p w14:paraId="6021D110" w14:textId="1E539328" w:rsidR="006F2DB3" w:rsidRDefault="00C57600">
          <w:pPr>
            <w:pStyle w:val="20"/>
            <w:tabs>
              <w:tab w:val="right" w:leader="dot" w:pos="8494"/>
            </w:tabs>
            <w:rPr>
              <w:rFonts w:asciiTheme="minorHAnsi" w:hAnsiTheme="minorHAnsi" w:cstheme="minorBidi"/>
              <w:noProof/>
              <w:kern w:val="2"/>
              <w:sz w:val="21"/>
              <w:szCs w:val="22"/>
              <w:lang w:val="en-US"/>
            </w:rPr>
          </w:pPr>
          <w:hyperlink w:anchor="_Toc12865319" w:history="1">
            <w:r w:rsidR="006F2DB3" w:rsidRPr="00272ED7">
              <w:rPr>
                <w:rStyle w:val="a7"/>
                <w:rFonts w:eastAsia="ＭＳ Ｐ明朝"/>
                <w:noProof/>
              </w:rPr>
              <w:t>6.3．TKI治療の中止からTFRを継続中</w:t>
            </w:r>
            <w:r w:rsidR="006F2DB3">
              <w:rPr>
                <w:noProof/>
                <w:webHidden/>
              </w:rPr>
              <w:tab/>
            </w:r>
            <w:r w:rsidR="006F2DB3">
              <w:rPr>
                <w:noProof/>
                <w:webHidden/>
              </w:rPr>
              <w:fldChar w:fldCharType="begin"/>
            </w:r>
            <w:r w:rsidR="006F2DB3">
              <w:rPr>
                <w:noProof/>
                <w:webHidden/>
              </w:rPr>
              <w:instrText xml:space="preserve"> PAGEREF _Toc12865319 \h </w:instrText>
            </w:r>
            <w:r w:rsidR="006F2DB3">
              <w:rPr>
                <w:noProof/>
                <w:webHidden/>
              </w:rPr>
            </w:r>
            <w:r w:rsidR="006F2DB3">
              <w:rPr>
                <w:noProof/>
                <w:webHidden/>
              </w:rPr>
              <w:fldChar w:fldCharType="separate"/>
            </w:r>
            <w:r w:rsidR="006F2DB3">
              <w:rPr>
                <w:noProof/>
                <w:webHidden/>
              </w:rPr>
              <w:t>17</w:t>
            </w:r>
            <w:r w:rsidR="006F2DB3">
              <w:rPr>
                <w:noProof/>
                <w:webHidden/>
              </w:rPr>
              <w:fldChar w:fldCharType="end"/>
            </w:r>
          </w:hyperlink>
        </w:p>
        <w:p w14:paraId="0C5E36D8" w14:textId="63C609F1" w:rsidR="006F2DB3" w:rsidRDefault="00C57600">
          <w:pPr>
            <w:pStyle w:val="20"/>
            <w:tabs>
              <w:tab w:val="right" w:leader="dot" w:pos="8494"/>
            </w:tabs>
            <w:rPr>
              <w:rFonts w:asciiTheme="minorHAnsi" w:hAnsiTheme="minorHAnsi" w:cstheme="minorBidi"/>
              <w:noProof/>
              <w:kern w:val="2"/>
              <w:sz w:val="21"/>
              <w:szCs w:val="22"/>
              <w:lang w:val="en-US"/>
            </w:rPr>
          </w:pPr>
          <w:hyperlink w:anchor="_Toc12865320" w:history="1">
            <w:r w:rsidR="006F2DB3" w:rsidRPr="00272ED7">
              <w:rPr>
                <w:rStyle w:val="a7"/>
                <w:noProof/>
              </w:rPr>
              <w:t>6.4.　TKI治療を再開後</w:t>
            </w:r>
            <w:r w:rsidR="006F2DB3">
              <w:rPr>
                <w:noProof/>
                <w:webHidden/>
              </w:rPr>
              <w:tab/>
            </w:r>
            <w:r w:rsidR="006F2DB3">
              <w:rPr>
                <w:noProof/>
                <w:webHidden/>
              </w:rPr>
              <w:fldChar w:fldCharType="begin"/>
            </w:r>
            <w:r w:rsidR="006F2DB3">
              <w:rPr>
                <w:noProof/>
                <w:webHidden/>
              </w:rPr>
              <w:instrText xml:space="preserve"> PAGEREF _Toc12865320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156AC2C1" w14:textId="6809C861" w:rsidR="006F2DB3" w:rsidRDefault="00C57600">
          <w:pPr>
            <w:pStyle w:val="11"/>
            <w:tabs>
              <w:tab w:val="right" w:leader="dot" w:pos="8494"/>
            </w:tabs>
            <w:rPr>
              <w:rFonts w:asciiTheme="minorHAnsi" w:hAnsiTheme="minorHAnsi" w:cstheme="minorBidi"/>
              <w:noProof/>
              <w:kern w:val="2"/>
              <w:sz w:val="21"/>
              <w:szCs w:val="22"/>
              <w:lang w:val="en-US"/>
            </w:rPr>
          </w:pPr>
          <w:hyperlink w:anchor="_Toc12865321" w:history="1">
            <w:r w:rsidR="006F2DB3" w:rsidRPr="00272ED7">
              <w:rPr>
                <w:rStyle w:val="a7"/>
                <w:noProof/>
              </w:rPr>
              <w:t>7. 本研究に用いる基準と定義</w:t>
            </w:r>
            <w:r w:rsidR="006F2DB3">
              <w:rPr>
                <w:noProof/>
                <w:webHidden/>
              </w:rPr>
              <w:tab/>
            </w:r>
            <w:r w:rsidR="006F2DB3">
              <w:rPr>
                <w:noProof/>
                <w:webHidden/>
              </w:rPr>
              <w:fldChar w:fldCharType="begin"/>
            </w:r>
            <w:r w:rsidR="006F2DB3">
              <w:rPr>
                <w:noProof/>
                <w:webHidden/>
              </w:rPr>
              <w:instrText xml:space="preserve"> PAGEREF _Toc12865321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BBE2820" w14:textId="62DCBD01" w:rsidR="006F2DB3" w:rsidRDefault="00C57600">
          <w:pPr>
            <w:pStyle w:val="20"/>
            <w:tabs>
              <w:tab w:val="right" w:leader="dot" w:pos="8494"/>
            </w:tabs>
            <w:rPr>
              <w:rFonts w:asciiTheme="minorHAnsi" w:hAnsiTheme="minorHAnsi" w:cstheme="minorBidi"/>
              <w:noProof/>
              <w:kern w:val="2"/>
              <w:sz w:val="21"/>
              <w:szCs w:val="22"/>
              <w:lang w:val="en-US"/>
            </w:rPr>
          </w:pPr>
          <w:hyperlink w:anchor="_Toc12865322" w:history="1">
            <w:r w:rsidR="006F2DB3" w:rsidRPr="00272ED7">
              <w:rPr>
                <w:rStyle w:val="a7"/>
                <w:noProof/>
              </w:rPr>
              <w:t>7.1．分子遺伝学的効果</w:t>
            </w:r>
            <w:r w:rsidR="006F2DB3">
              <w:rPr>
                <w:noProof/>
                <w:webHidden/>
              </w:rPr>
              <w:tab/>
            </w:r>
            <w:r w:rsidR="006F2DB3">
              <w:rPr>
                <w:noProof/>
                <w:webHidden/>
              </w:rPr>
              <w:fldChar w:fldCharType="begin"/>
            </w:r>
            <w:r w:rsidR="006F2DB3">
              <w:rPr>
                <w:noProof/>
                <w:webHidden/>
              </w:rPr>
              <w:instrText xml:space="preserve"> PAGEREF _Toc12865322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09162E71" w14:textId="3BA4151D" w:rsidR="006F2DB3" w:rsidRDefault="00C57600">
          <w:pPr>
            <w:pStyle w:val="20"/>
            <w:tabs>
              <w:tab w:val="right" w:leader="dot" w:pos="8494"/>
            </w:tabs>
            <w:rPr>
              <w:rFonts w:asciiTheme="minorHAnsi" w:hAnsiTheme="minorHAnsi" w:cstheme="minorBidi"/>
              <w:noProof/>
              <w:kern w:val="2"/>
              <w:sz w:val="21"/>
              <w:szCs w:val="22"/>
              <w:lang w:val="en-US"/>
            </w:rPr>
          </w:pPr>
          <w:hyperlink w:anchor="_Toc12865323" w:history="1">
            <w:r w:rsidR="006F2DB3" w:rsidRPr="00272ED7">
              <w:rPr>
                <w:rStyle w:val="a7"/>
                <w:noProof/>
              </w:rPr>
              <w:t>7.2．分子遺伝学的再発</w:t>
            </w:r>
            <w:r w:rsidR="006F2DB3">
              <w:rPr>
                <w:noProof/>
                <w:webHidden/>
              </w:rPr>
              <w:tab/>
            </w:r>
            <w:r w:rsidR="006F2DB3">
              <w:rPr>
                <w:noProof/>
                <w:webHidden/>
              </w:rPr>
              <w:fldChar w:fldCharType="begin"/>
            </w:r>
            <w:r w:rsidR="006F2DB3">
              <w:rPr>
                <w:noProof/>
                <w:webHidden/>
              </w:rPr>
              <w:instrText xml:space="preserve"> PAGEREF _Toc12865323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3005E39" w14:textId="6CF163E6" w:rsidR="006F2DB3" w:rsidRDefault="00C57600">
          <w:pPr>
            <w:pStyle w:val="20"/>
            <w:tabs>
              <w:tab w:val="right" w:leader="dot" w:pos="8494"/>
            </w:tabs>
            <w:rPr>
              <w:rFonts w:asciiTheme="minorHAnsi" w:hAnsiTheme="minorHAnsi" w:cstheme="minorBidi"/>
              <w:noProof/>
              <w:kern w:val="2"/>
              <w:sz w:val="21"/>
              <w:szCs w:val="22"/>
              <w:lang w:val="en-US"/>
            </w:rPr>
          </w:pPr>
          <w:hyperlink w:anchor="_Toc12865324" w:history="1">
            <w:r w:rsidR="006F2DB3" w:rsidRPr="00272ED7">
              <w:rPr>
                <w:rStyle w:val="a7"/>
                <w:noProof/>
              </w:rPr>
              <w:t>7.3．病期</w:t>
            </w:r>
            <w:r w:rsidR="006F2DB3">
              <w:rPr>
                <w:noProof/>
                <w:webHidden/>
              </w:rPr>
              <w:tab/>
            </w:r>
            <w:r w:rsidR="006F2DB3">
              <w:rPr>
                <w:noProof/>
                <w:webHidden/>
              </w:rPr>
              <w:fldChar w:fldCharType="begin"/>
            </w:r>
            <w:r w:rsidR="006F2DB3">
              <w:rPr>
                <w:noProof/>
                <w:webHidden/>
              </w:rPr>
              <w:instrText xml:space="preserve"> PAGEREF _Toc12865324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02B7AE3" w14:textId="69E273D4" w:rsidR="006F2DB3" w:rsidRDefault="00C57600">
          <w:pPr>
            <w:pStyle w:val="20"/>
            <w:tabs>
              <w:tab w:val="right" w:leader="dot" w:pos="8494"/>
            </w:tabs>
            <w:rPr>
              <w:rFonts w:asciiTheme="minorHAnsi" w:hAnsiTheme="minorHAnsi" w:cstheme="minorBidi"/>
              <w:noProof/>
              <w:kern w:val="2"/>
              <w:sz w:val="21"/>
              <w:szCs w:val="22"/>
              <w:lang w:val="en-US"/>
            </w:rPr>
          </w:pPr>
          <w:hyperlink w:anchor="_Toc12865325" w:history="1">
            <w:r w:rsidR="006F2DB3" w:rsidRPr="00272ED7">
              <w:rPr>
                <w:rStyle w:val="a7"/>
                <w:noProof/>
              </w:rPr>
              <w:t>7.4．Sokal score</w:t>
            </w:r>
            <w:r w:rsidR="006F2DB3">
              <w:rPr>
                <w:noProof/>
                <w:webHidden/>
              </w:rPr>
              <w:tab/>
            </w:r>
            <w:r w:rsidR="006F2DB3">
              <w:rPr>
                <w:noProof/>
                <w:webHidden/>
              </w:rPr>
              <w:fldChar w:fldCharType="begin"/>
            </w:r>
            <w:r w:rsidR="006F2DB3">
              <w:rPr>
                <w:noProof/>
                <w:webHidden/>
              </w:rPr>
              <w:instrText xml:space="preserve"> PAGEREF _Toc12865325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0F162990" w14:textId="553F5F63" w:rsidR="006F2DB3" w:rsidRDefault="00C57600">
          <w:pPr>
            <w:pStyle w:val="20"/>
            <w:tabs>
              <w:tab w:val="right" w:leader="dot" w:pos="8494"/>
            </w:tabs>
            <w:rPr>
              <w:rFonts w:asciiTheme="minorHAnsi" w:hAnsiTheme="minorHAnsi" w:cstheme="minorBidi"/>
              <w:noProof/>
              <w:kern w:val="2"/>
              <w:sz w:val="21"/>
              <w:szCs w:val="22"/>
              <w:lang w:val="en-US"/>
            </w:rPr>
          </w:pPr>
          <w:hyperlink w:anchor="_Toc12865326" w:history="1">
            <w:r w:rsidR="006F2DB3" w:rsidRPr="00272ED7">
              <w:rPr>
                <w:rStyle w:val="a7"/>
                <w:noProof/>
                <w:lang w:val="en-US"/>
              </w:rPr>
              <w:t>7.5．ELTS（EUTOS Long-Term Survival）score</w:t>
            </w:r>
            <w:r w:rsidR="006F2DB3">
              <w:rPr>
                <w:noProof/>
                <w:webHidden/>
              </w:rPr>
              <w:tab/>
            </w:r>
            <w:r w:rsidR="006F2DB3">
              <w:rPr>
                <w:noProof/>
                <w:webHidden/>
              </w:rPr>
              <w:fldChar w:fldCharType="begin"/>
            </w:r>
            <w:r w:rsidR="006F2DB3">
              <w:rPr>
                <w:noProof/>
                <w:webHidden/>
              </w:rPr>
              <w:instrText xml:space="preserve"> PAGEREF _Toc12865326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60453DA5" w14:textId="092E79FB" w:rsidR="006F2DB3" w:rsidRDefault="00C57600">
          <w:pPr>
            <w:pStyle w:val="20"/>
            <w:tabs>
              <w:tab w:val="right" w:leader="dot" w:pos="8494"/>
            </w:tabs>
            <w:rPr>
              <w:rFonts w:asciiTheme="minorHAnsi" w:hAnsiTheme="minorHAnsi" w:cstheme="minorBidi"/>
              <w:noProof/>
              <w:kern w:val="2"/>
              <w:sz w:val="21"/>
              <w:szCs w:val="22"/>
              <w:lang w:val="en-US"/>
            </w:rPr>
          </w:pPr>
          <w:hyperlink w:anchor="_Toc12865327" w:history="1">
            <w:r w:rsidR="006F2DB3" w:rsidRPr="00272ED7">
              <w:rPr>
                <w:rStyle w:val="a7"/>
                <w:noProof/>
              </w:rPr>
              <w:t>7.6．Hasford score</w:t>
            </w:r>
            <w:r w:rsidR="006F2DB3">
              <w:rPr>
                <w:noProof/>
                <w:webHidden/>
              </w:rPr>
              <w:tab/>
            </w:r>
            <w:r w:rsidR="006F2DB3">
              <w:rPr>
                <w:noProof/>
                <w:webHidden/>
              </w:rPr>
              <w:fldChar w:fldCharType="begin"/>
            </w:r>
            <w:r w:rsidR="006F2DB3">
              <w:rPr>
                <w:noProof/>
                <w:webHidden/>
              </w:rPr>
              <w:instrText xml:space="preserve"> PAGEREF _Toc12865327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5B5AD5F4" w14:textId="5C51A625" w:rsidR="006F2DB3" w:rsidRDefault="00C57600">
          <w:pPr>
            <w:pStyle w:val="11"/>
            <w:tabs>
              <w:tab w:val="right" w:leader="dot" w:pos="8494"/>
            </w:tabs>
            <w:rPr>
              <w:rFonts w:asciiTheme="minorHAnsi" w:hAnsiTheme="minorHAnsi" w:cstheme="minorBidi"/>
              <w:noProof/>
              <w:kern w:val="2"/>
              <w:sz w:val="21"/>
              <w:szCs w:val="22"/>
              <w:lang w:val="en-US"/>
            </w:rPr>
          </w:pPr>
          <w:hyperlink w:anchor="_Toc12865328" w:history="1">
            <w:r w:rsidR="006F2DB3" w:rsidRPr="00272ED7">
              <w:rPr>
                <w:rStyle w:val="a7"/>
                <w:noProof/>
              </w:rPr>
              <w:t>8. 評価項目における定義</w:t>
            </w:r>
            <w:r w:rsidR="006F2DB3">
              <w:rPr>
                <w:noProof/>
                <w:webHidden/>
              </w:rPr>
              <w:tab/>
            </w:r>
            <w:r w:rsidR="006F2DB3">
              <w:rPr>
                <w:noProof/>
                <w:webHidden/>
              </w:rPr>
              <w:fldChar w:fldCharType="begin"/>
            </w:r>
            <w:r w:rsidR="006F2DB3">
              <w:rPr>
                <w:noProof/>
                <w:webHidden/>
              </w:rPr>
              <w:instrText xml:space="preserve"> PAGEREF _Toc12865328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6CEEAE0" w14:textId="5C25E9C6" w:rsidR="006F2DB3" w:rsidRDefault="00C57600">
          <w:pPr>
            <w:pStyle w:val="20"/>
            <w:tabs>
              <w:tab w:val="right" w:leader="dot" w:pos="8494"/>
            </w:tabs>
            <w:rPr>
              <w:rFonts w:asciiTheme="minorHAnsi" w:hAnsiTheme="minorHAnsi" w:cstheme="minorBidi"/>
              <w:noProof/>
              <w:kern w:val="2"/>
              <w:sz w:val="21"/>
              <w:szCs w:val="22"/>
              <w:lang w:val="en-US"/>
            </w:rPr>
          </w:pPr>
          <w:hyperlink w:anchor="_Toc12865329" w:history="1">
            <w:r w:rsidR="006F2DB3" w:rsidRPr="00272ED7">
              <w:rPr>
                <w:rStyle w:val="a7"/>
                <w:noProof/>
              </w:rPr>
              <w:t>8.1．無治療寛解 (TFR；Treatment-free remission)</w:t>
            </w:r>
            <w:r w:rsidR="006F2DB3">
              <w:rPr>
                <w:noProof/>
                <w:webHidden/>
              </w:rPr>
              <w:tab/>
            </w:r>
            <w:r w:rsidR="006F2DB3">
              <w:rPr>
                <w:noProof/>
                <w:webHidden/>
              </w:rPr>
              <w:fldChar w:fldCharType="begin"/>
            </w:r>
            <w:r w:rsidR="006F2DB3">
              <w:rPr>
                <w:noProof/>
                <w:webHidden/>
              </w:rPr>
              <w:instrText xml:space="preserve"> PAGEREF _Toc12865329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0B15692C" w14:textId="4C9F6CDA" w:rsidR="006F2DB3" w:rsidRDefault="00C57600">
          <w:pPr>
            <w:pStyle w:val="20"/>
            <w:tabs>
              <w:tab w:val="right" w:leader="dot" w:pos="8494"/>
            </w:tabs>
            <w:rPr>
              <w:rFonts w:asciiTheme="minorHAnsi" w:hAnsiTheme="minorHAnsi" w:cstheme="minorBidi"/>
              <w:noProof/>
              <w:kern w:val="2"/>
              <w:sz w:val="21"/>
              <w:szCs w:val="22"/>
              <w:lang w:val="en-US"/>
            </w:rPr>
          </w:pPr>
          <w:hyperlink w:anchor="_Toc12865330" w:history="1">
            <w:r w:rsidR="006F2DB3" w:rsidRPr="00272ED7">
              <w:rPr>
                <w:rStyle w:val="a7"/>
                <w:noProof/>
              </w:rPr>
              <w:t>8.2．Progression Free Survival</w:t>
            </w:r>
            <w:r w:rsidR="006F2DB3">
              <w:rPr>
                <w:noProof/>
                <w:webHidden/>
              </w:rPr>
              <w:tab/>
            </w:r>
            <w:r w:rsidR="006F2DB3">
              <w:rPr>
                <w:noProof/>
                <w:webHidden/>
              </w:rPr>
              <w:fldChar w:fldCharType="begin"/>
            </w:r>
            <w:r w:rsidR="006F2DB3">
              <w:rPr>
                <w:noProof/>
                <w:webHidden/>
              </w:rPr>
              <w:instrText xml:space="preserve"> PAGEREF _Toc12865330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F706FA3" w14:textId="3D3FDECB" w:rsidR="006F2DB3" w:rsidRDefault="00C57600">
          <w:pPr>
            <w:pStyle w:val="20"/>
            <w:tabs>
              <w:tab w:val="right" w:leader="dot" w:pos="8494"/>
            </w:tabs>
            <w:rPr>
              <w:rFonts w:asciiTheme="minorHAnsi" w:hAnsiTheme="minorHAnsi" w:cstheme="minorBidi"/>
              <w:noProof/>
              <w:kern w:val="2"/>
              <w:sz w:val="21"/>
              <w:szCs w:val="22"/>
              <w:lang w:val="en-US"/>
            </w:rPr>
          </w:pPr>
          <w:hyperlink w:anchor="_Toc12865331" w:history="1">
            <w:r w:rsidR="006F2DB3" w:rsidRPr="00272ED7">
              <w:rPr>
                <w:rStyle w:val="a7"/>
                <w:noProof/>
              </w:rPr>
              <w:t>8.3．TKI中止後の無治療期間（TFS：Treatment free survival）</w:t>
            </w:r>
            <w:r w:rsidR="006F2DB3">
              <w:rPr>
                <w:noProof/>
                <w:webHidden/>
              </w:rPr>
              <w:tab/>
            </w:r>
            <w:r w:rsidR="006F2DB3">
              <w:rPr>
                <w:noProof/>
                <w:webHidden/>
              </w:rPr>
              <w:fldChar w:fldCharType="begin"/>
            </w:r>
            <w:r w:rsidR="006F2DB3">
              <w:rPr>
                <w:noProof/>
                <w:webHidden/>
              </w:rPr>
              <w:instrText xml:space="preserve"> PAGEREF _Toc12865331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277791F7" w14:textId="19D95728" w:rsidR="006F2DB3" w:rsidRDefault="00C57600">
          <w:pPr>
            <w:pStyle w:val="11"/>
            <w:tabs>
              <w:tab w:val="right" w:leader="dot" w:pos="8494"/>
            </w:tabs>
            <w:rPr>
              <w:rFonts w:asciiTheme="minorHAnsi" w:hAnsiTheme="minorHAnsi" w:cstheme="minorBidi"/>
              <w:noProof/>
              <w:kern w:val="2"/>
              <w:sz w:val="21"/>
              <w:szCs w:val="22"/>
              <w:lang w:val="en-US"/>
            </w:rPr>
          </w:pPr>
          <w:hyperlink w:anchor="_Toc12865332" w:history="1">
            <w:r w:rsidR="006F2DB3" w:rsidRPr="00272ED7">
              <w:rPr>
                <w:rStyle w:val="a7"/>
                <w:noProof/>
              </w:rPr>
              <w:t>9．統計的事項</w:t>
            </w:r>
            <w:r w:rsidR="006F2DB3">
              <w:rPr>
                <w:noProof/>
                <w:webHidden/>
              </w:rPr>
              <w:tab/>
            </w:r>
            <w:r w:rsidR="006F2DB3">
              <w:rPr>
                <w:noProof/>
                <w:webHidden/>
              </w:rPr>
              <w:fldChar w:fldCharType="begin"/>
            </w:r>
            <w:r w:rsidR="006F2DB3">
              <w:rPr>
                <w:noProof/>
                <w:webHidden/>
              </w:rPr>
              <w:instrText xml:space="preserve"> PAGEREF _Toc12865332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31276ABA" w14:textId="58FF27F3" w:rsidR="006F2DB3" w:rsidRDefault="00C57600">
          <w:pPr>
            <w:pStyle w:val="20"/>
            <w:tabs>
              <w:tab w:val="right" w:leader="dot" w:pos="8494"/>
            </w:tabs>
            <w:rPr>
              <w:rFonts w:asciiTheme="minorHAnsi" w:hAnsiTheme="minorHAnsi" w:cstheme="minorBidi"/>
              <w:noProof/>
              <w:kern w:val="2"/>
              <w:sz w:val="21"/>
              <w:szCs w:val="22"/>
              <w:lang w:val="en-US"/>
            </w:rPr>
          </w:pPr>
          <w:hyperlink w:anchor="_Toc12865333" w:history="1">
            <w:r w:rsidR="006F2DB3" w:rsidRPr="00272ED7">
              <w:rPr>
                <w:rStyle w:val="a7"/>
                <w:noProof/>
              </w:rPr>
              <w:t>9.1. 解析方法</w:t>
            </w:r>
            <w:r w:rsidR="006F2DB3">
              <w:rPr>
                <w:noProof/>
                <w:webHidden/>
              </w:rPr>
              <w:tab/>
            </w:r>
            <w:r w:rsidR="006F2DB3">
              <w:rPr>
                <w:noProof/>
                <w:webHidden/>
              </w:rPr>
              <w:fldChar w:fldCharType="begin"/>
            </w:r>
            <w:r w:rsidR="006F2DB3">
              <w:rPr>
                <w:noProof/>
                <w:webHidden/>
              </w:rPr>
              <w:instrText xml:space="preserve"> PAGEREF _Toc12865333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50362BAC" w14:textId="62B4FC83" w:rsidR="006F2DB3" w:rsidRDefault="00C57600">
          <w:pPr>
            <w:pStyle w:val="30"/>
            <w:tabs>
              <w:tab w:val="right" w:leader="dot" w:pos="8494"/>
            </w:tabs>
            <w:rPr>
              <w:rFonts w:asciiTheme="minorHAnsi" w:hAnsiTheme="minorHAnsi" w:cstheme="minorBidi"/>
              <w:noProof/>
              <w:kern w:val="2"/>
              <w:sz w:val="21"/>
              <w:szCs w:val="22"/>
              <w:lang w:val="en-US"/>
            </w:rPr>
          </w:pPr>
          <w:hyperlink w:anchor="_Toc12865334" w:history="1">
            <w:r w:rsidR="006F2DB3" w:rsidRPr="00272ED7">
              <w:rPr>
                <w:rStyle w:val="a7"/>
                <w:noProof/>
              </w:rPr>
              <w:t>9.1.1. 主要評価項目の解析</w:t>
            </w:r>
            <w:r w:rsidR="006F2DB3">
              <w:rPr>
                <w:noProof/>
                <w:webHidden/>
              </w:rPr>
              <w:tab/>
            </w:r>
            <w:r w:rsidR="006F2DB3">
              <w:rPr>
                <w:noProof/>
                <w:webHidden/>
              </w:rPr>
              <w:fldChar w:fldCharType="begin"/>
            </w:r>
            <w:r w:rsidR="006F2DB3">
              <w:rPr>
                <w:noProof/>
                <w:webHidden/>
              </w:rPr>
              <w:instrText xml:space="preserve"> PAGEREF _Toc12865334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93657F9" w14:textId="365CF395" w:rsidR="006F2DB3" w:rsidRDefault="00C57600">
          <w:pPr>
            <w:pStyle w:val="30"/>
            <w:tabs>
              <w:tab w:val="right" w:leader="dot" w:pos="8494"/>
            </w:tabs>
            <w:rPr>
              <w:rFonts w:asciiTheme="minorHAnsi" w:hAnsiTheme="minorHAnsi" w:cstheme="minorBidi"/>
              <w:noProof/>
              <w:kern w:val="2"/>
              <w:sz w:val="21"/>
              <w:szCs w:val="22"/>
              <w:lang w:val="en-US"/>
            </w:rPr>
          </w:pPr>
          <w:hyperlink w:anchor="_Toc12865335" w:history="1">
            <w:r w:rsidR="006F2DB3" w:rsidRPr="00272ED7">
              <w:rPr>
                <w:rStyle w:val="a7"/>
                <w:noProof/>
              </w:rPr>
              <w:t>9.1.2. 副次的評価項目の解析</w:t>
            </w:r>
            <w:r w:rsidR="006F2DB3">
              <w:rPr>
                <w:noProof/>
                <w:webHidden/>
              </w:rPr>
              <w:tab/>
            </w:r>
            <w:r w:rsidR="006F2DB3">
              <w:rPr>
                <w:noProof/>
                <w:webHidden/>
              </w:rPr>
              <w:fldChar w:fldCharType="begin"/>
            </w:r>
            <w:r w:rsidR="006F2DB3">
              <w:rPr>
                <w:noProof/>
                <w:webHidden/>
              </w:rPr>
              <w:instrText xml:space="preserve"> PAGEREF _Toc12865335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44D9DA47" w14:textId="7C82BC90" w:rsidR="006F2DB3" w:rsidRDefault="00C57600">
          <w:pPr>
            <w:pStyle w:val="30"/>
            <w:tabs>
              <w:tab w:val="right" w:leader="dot" w:pos="8494"/>
            </w:tabs>
            <w:rPr>
              <w:rFonts w:asciiTheme="minorHAnsi" w:hAnsiTheme="minorHAnsi" w:cstheme="minorBidi"/>
              <w:noProof/>
              <w:kern w:val="2"/>
              <w:sz w:val="21"/>
              <w:szCs w:val="22"/>
              <w:lang w:val="en-US"/>
            </w:rPr>
          </w:pPr>
          <w:hyperlink w:anchor="_Toc12865336" w:history="1">
            <w:r w:rsidR="006F2DB3" w:rsidRPr="00272ED7">
              <w:rPr>
                <w:rStyle w:val="a7"/>
                <w:noProof/>
              </w:rPr>
              <w:t>9.1.3．探索的評価項目の解析</w:t>
            </w:r>
            <w:r w:rsidR="006F2DB3">
              <w:rPr>
                <w:noProof/>
                <w:webHidden/>
              </w:rPr>
              <w:tab/>
            </w:r>
            <w:r w:rsidR="006F2DB3">
              <w:rPr>
                <w:noProof/>
                <w:webHidden/>
              </w:rPr>
              <w:fldChar w:fldCharType="begin"/>
            </w:r>
            <w:r w:rsidR="006F2DB3">
              <w:rPr>
                <w:noProof/>
                <w:webHidden/>
              </w:rPr>
              <w:instrText xml:space="preserve"> PAGEREF _Toc12865336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7497A211" w14:textId="12A4731E" w:rsidR="006F2DB3" w:rsidRDefault="00C57600">
          <w:pPr>
            <w:pStyle w:val="30"/>
            <w:tabs>
              <w:tab w:val="right" w:leader="dot" w:pos="8494"/>
            </w:tabs>
            <w:rPr>
              <w:rFonts w:asciiTheme="minorHAnsi" w:hAnsiTheme="minorHAnsi" w:cstheme="minorBidi"/>
              <w:noProof/>
              <w:kern w:val="2"/>
              <w:sz w:val="21"/>
              <w:szCs w:val="22"/>
              <w:lang w:val="en-US"/>
            </w:rPr>
          </w:pPr>
          <w:hyperlink w:anchor="_Toc12865337" w:history="1">
            <w:r w:rsidR="006F2DB3" w:rsidRPr="00272ED7">
              <w:rPr>
                <w:rStyle w:val="a7"/>
                <w:noProof/>
              </w:rPr>
              <w:t>9.1.4．中間報告と年次報告</w:t>
            </w:r>
            <w:r w:rsidR="006F2DB3">
              <w:rPr>
                <w:noProof/>
                <w:webHidden/>
              </w:rPr>
              <w:tab/>
            </w:r>
            <w:r w:rsidR="006F2DB3">
              <w:rPr>
                <w:noProof/>
                <w:webHidden/>
              </w:rPr>
              <w:fldChar w:fldCharType="begin"/>
            </w:r>
            <w:r w:rsidR="006F2DB3">
              <w:rPr>
                <w:noProof/>
                <w:webHidden/>
              </w:rPr>
              <w:instrText xml:space="preserve"> PAGEREF _Toc12865337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783162EE" w14:textId="189F8E8C" w:rsidR="006F2DB3" w:rsidRDefault="00C57600">
          <w:pPr>
            <w:pStyle w:val="20"/>
            <w:tabs>
              <w:tab w:val="right" w:leader="dot" w:pos="8494"/>
            </w:tabs>
            <w:rPr>
              <w:rFonts w:asciiTheme="minorHAnsi" w:hAnsiTheme="minorHAnsi" w:cstheme="minorBidi"/>
              <w:noProof/>
              <w:kern w:val="2"/>
              <w:sz w:val="21"/>
              <w:szCs w:val="22"/>
              <w:lang w:val="en-US"/>
            </w:rPr>
          </w:pPr>
          <w:hyperlink w:anchor="_Toc12865338" w:history="1">
            <w:r w:rsidR="006F2DB3" w:rsidRPr="00272ED7">
              <w:rPr>
                <w:rStyle w:val="a7"/>
                <w:noProof/>
              </w:rPr>
              <w:t>9.2. 目標症例数1200例の根拠</w:t>
            </w:r>
            <w:r w:rsidR="006F2DB3">
              <w:rPr>
                <w:noProof/>
                <w:webHidden/>
              </w:rPr>
              <w:tab/>
            </w:r>
            <w:r w:rsidR="006F2DB3">
              <w:rPr>
                <w:noProof/>
                <w:webHidden/>
              </w:rPr>
              <w:fldChar w:fldCharType="begin"/>
            </w:r>
            <w:r w:rsidR="006F2DB3">
              <w:rPr>
                <w:noProof/>
                <w:webHidden/>
              </w:rPr>
              <w:instrText xml:space="preserve"> PAGEREF _Toc12865338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19AD2EF0" w14:textId="47B76263" w:rsidR="006F2DB3" w:rsidRDefault="00C57600">
          <w:pPr>
            <w:pStyle w:val="11"/>
            <w:tabs>
              <w:tab w:val="right" w:leader="dot" w:pos="8494"/>
            </w:tabs>
            <w:rPr>
              <w:rFonts w:asciiTheme="minorHAnsi" w:hAnsiTheme="minorHAnsi" w:cstheme="minorBidi"/>
              <w:noProof/>
              <w:kern w:val="2"/>
              <w:sz w:val="21"/>
              <w:szCs w:val="22"/>
              <w:lang w:val="en-US"/>
            </w:rPr>
          </w:pPr>
          <w:hyperlink w:anchor="_Toc12865339" w:history="1">
            <w:r w:rsidR="006F2DB3" w:rsidRPr="00272ED7">
              <w:rPr>
                <w:rStyle w:val="a7"/>
                <w:noProof/>
              </w:rPr>
              <w:t>10． 対象者の登録</w:t>
            </w:r>
            <w:r w:rsidR="006F2DB3">
              <w:rPr>
                <w:noProof/>
                <w:webHidden/>
              </w:rPr>
              <w:tab/>
            </w:r>
            <w:r w:rsidR="006F2DB3">
              <w:rPr>
                <w:noProof/>
                <w:webHidden/>
              </w:rPr>
              <w:fldChar w:fldCharType="begin"/>
            </w:r>
            <w:r w:rsidR="006F2DB3">
              <w:rPr>
                <w:noProof/>
                <w:webHidden/>
              </w:rPr>
              <w:instrText xml:space="preserve"> PAGEREF _Toc12865339 \h </w:instrText>
            </w:r>
            <w:r w:rsidR="006F2DB3">
              <w:rPr>
                <w:noProof/>
                <w:webHidden/>
              </w:rPr>
            </w:r>
            <w:r w:rsidR="006F2DB3">
              <w:rPr>
                <w:noProof/>
                <w:webHidden/>
              </w:rPr>
              <w:fldChar w:fldCharType="separate"/>
            </w:r>
            <w:r w:rsidR="006F2DB3">
              <w:rPr>
                <w:noProof/>
                <w:webHidden/>
              </w:rPr>
              <w:t>22</w:t>
            </w:r>
            <w:r w:rsidR="006F2DB3">
              <w:rPr>
                <w:noProof/>
                <w:webHidden/>
              </w:rPr>
              <w:fldChar w:fldCharType="end"/>
            </w:r>
          </w:hyperlink>
        </w:p>
        <w:p w14:paraId="23EE6503" w14:textId="6F7E5178" w:rsidR="006F2DB3" w:rsidRDefault="00C57600">
          <w:pPr>
            <w:pStyle w:val="20"/>
            <w:tabs>
              <w:tab w:val="right" w:leader="dot" w:pos="8494"/>
            </w:tabs>
            <w:rPr>
              <w:rFonts w:asciiTheme="minorHAnsi" w:hAnsiTheme="minorHAnsi" w:cstheme="minorBidi"/>
              <w:noProof/>
              <w:kern w:val="2"/>
              <w:sz w:val="21"/>
              <w:szCs w:val="22"/>
              <w:lang w:val="en-US"/>
            </w:rPr>
          </w:pPr>
          <w:hyperlink w:anchor="_Toc12865340" w:history="1">
            <w:r w:rsidR="006F2DB3" w:rsidRPr="00272ED7">
              <w:rPr>
                <w:rStyle w:val="a7"/>
                <w:noProof/>
              </w:rPr>
              <w:t>10.1．症例登録</w:t>
            </w:r>
            <w:r w:rsidR="006F2DB3">
              <w:rPr>
                <w:noProof/>
                <w:webHidden/>
              </w:rPr>
              <w:tab/>
            </w:r>
            <w:r w:rsidR="006F2DB3">
              <w:rPr>
                <w:noProof/>
                <w:webHidden/>
              </w:rPr>
              <w:fldChar w:fldCharType="begin"/>
            </w:r>
            <w:r w:rsidR="006F2DB3">
              <w:rPr>
                <w:noProof/>
                <w:webHidden/>
              </w:rPr>
              <w:instrText xml:space="preserve"> PAGEREF _Toc12865340 \h </w:instrText>
            </w:r>
            <w:r w:rsidR="006F2DB3">
              <w:rPr>
                <w:noProof/>
                <w:webHidden/>
              </w:rPr>
            </w:r>
            <w:r w:rsidR="006F2DB3">
              <w:rPr>
                <w:noProof/>
                <w:webHidden/>
              </w:rPr>
              <w:fldChar w:fldCharType="separate"/>
            </w:r>
            <w:r w:rsidR="006F2DB3">
              <w:rPr>
                <w:noProof/>
                <w:webHidden/>
              </w:rPr>
              <w:t>22</w:t>
            </w:r>
            <w:r w:rsidR="006F2DB3">
              <w:rPr>
                <w:noProof/>
                <w:webHidden/>
              </w:rPr>
              <w:fldChar w:fldCharType="end"/>
            </w:r>
          </w:hyperlink>
        </w:p>
        <w:p w14:paraId="0BA5E3EF" w14:textId="7BDC9A44" w:rsidR="006F2DB3" w:rsidRDefault="00C57600">
          <w:pPr>
            <w:pStyle w:val="11"/>
            <w:tabs>
              <w:tab w:val="right" w:leader="dot" w:pos="8494"/>
            </w:tabs>
            <w:rPr>
              <w:rFonts w:asciiTheme="minorHAnsi" w:hAnsiTheme="minorHAnsi" w:cstheme="minorBidi"/>
              <w:noProof/>
              <w:kern w:val="2"/>
              <w:sz w:val="21"/>
              <w:szCs w:val="22"/>
              <w:lang w:val="en-US"/>
            </w:rPr>
          </w:pPr>
          <w:hyperlink w:anchor="_Toc12865341" w:history="1">
            <w:r w:rsidR="006F2DB3" w:rsidRPr="00272ED7">
              <w:rPr>
                <w:rStyle w:val="a7"/>
                <w:noProof/>
              </w:rPr>
              <w:t>11．研究の中止基準</w:t>
            </w:r>
            <w:r w:rsidR="006F2DB3">
              <w:rPr>
                <w:noProof/>
                <w:webHidden/>
              </w:rPr>
              <w:tab/>
            </w:r>
            <w:r w:rsidR="006F2DB3">
              <w:rPr>
                <w:noProof/>
                <w:webHidden/>
              </w:rPr>
              <w:fldChar w:fldCharType="begin"/>
            </w:r>
            <w:r w:rsidR="006F2DB3">
              <w:rPr>
                <w:noProof/>
                <w:webHidden/>
              </w:rPr>
              <w:instrText xml:space="preserve"> PAGEREF _Toc12865341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7625F202" w14:textId="4C6059A5" w:rsidR="006F2DB3" w:rsidRDefault="00C57600">
          <w:pPr>
            <w:pStyle w:val="20"/>
            <w:tabs>
              <w:tab w:val="right" w:leader="dot" w:pos="8494"/>
            </w:tabs>
            <w:rPr>
              <w:rFonts w:asciiTheme="minorHAnsi" w:hAnsiTheme="minorHAnsi" w:cstheme="minorBidi"/>
              <w:noProof/>
              <w:kern w:val="2"/>
              <w:sz w:val="21"/>
              <w:szCs w:val="22"/>
              <w:lang w:val="en-US"/>
            </w:rPr>
          </w:pPr>
          <w:hyperlink w:anchor="_Toc12865342" w:history="1">
            <w:r w:rsidR="006F2DB3" w:rsidRPr="00272ED7">
              <w:rPr>
                <w:rStyle w:val="a7"/>
                <w:noProof/>
              </w:rPr>
              <w:t>11.1．患者ごとの研究の中止基準</w:t>
            </w:r>
            <w:r w:rsidR="006F2DB3">
              <w:rPr>
                <w:noProof/>
                <w:webHidden/>
              </w:rPr>
              <w:tab/>
            </w:r>
            <w:r w:rsidR="006F2DB3">
              <w:rPr>
                <w:noProof/>
                <w:webHidden/>
              </w:rPr>
              <w:fldChar w:fldCharType="begin"/>
            </w:r>
            <w:r w:rsidR="006F2DB3">
              <w:rPr>
                <w:noProof/>
                <w:webHidden/>
              </w:rPr>
              <w:instrText xml:space="preserve"> PAGEREF _Toc12865342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28C21AAF" w14:textId="75E87974" w:rsidR="006F2DB3" w:rsidRDefault="00C57600">
          <w:pPr>
            <w:pStyle w:val="20"/>
            <w:tabs>
              <w:tab w:val="right" w:leader="dot" w:pos="8494"/>
            </w:tabs>
            <w:rPr>
              <w:rFonts w:asciiTheme="minorHAnsi" w:hAnsiTheme="minorHAnsi" w:cstheme="minorBidi"/>
              <w:noProof/>
              <w:kern w:val="2"/>
              <w:sz w:val="21"/>
              <w:szCs w:val="22"/>
              <w:lang w:val="en-US"/>
            </w:rPr>
          </w:pPr>
          <w:hyperlink w:anchor="_Toc12865343" w:history="1">
            <w:r w:rsidR="006F2DB3" w:rsidRPr="00272ED7">
              <w:rPr>
                <w:rStyle w:val="a7"/>
                <w:noProof/>
              </w:rPr>
              <w:t>11.2．研究全体の中止基準</w:t>
            </w:r>
            <w:r w:rsidR="006F2DB3">
              <w:rPr>
                <w:noProof/>
                <w:webHidden/>
              </w:rPr>
              <w:tab/>
            </w:r>
            <w:r w:rsidR="006F2DB3">
              <w:rPr>
                <w:noProof/>
                <w:webHidden/>
              </w:rPr>
              <w:fldChar w:fldCharType="begin"/>
            </w:r>
            <w:r w:rsidR="006F2DB3">
              <w:rPr>
                <w:noProof/>
                <w:webHidden/>
              </w:rPr>
              <w:instrText xml:space="preserve"> PAGEREF _Toc12865343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39866B0A" w14:textId="29F8AB3A" w:rsidR="006F2DB3" w:rsidRDefault="00C57600">
          <w:pPr>
            <w:pStyle w:val="11"/>
            <w:tabs>
              <w:tab w:val="right" w:leader="dot" w:pos="8494"/>
            </w:tabs>
            <w:rPr>
              <w:rFonts w:asciiTheme="minorHAnsi" w:hAnsiTheme="minorHAnsi" w:cstheme="minorBidi"/>
              <w:noProof/>
              <w:kern w:val="2"/>
              <w:sz w:val="21"/>
              <w:szCs w:val="22"/>
              <w:lang w:val="en-US"/>
            </w:rPr>
          </w:pPr>
          <w:hyperlink w:anchor="_Toc12865344" w:history="1">
            <w:r w:rsidR="006F2DB3" w:rsidRPr="00272ED7">
              <w:rPr>
                <w:rStyle w:val="a7"/>
                <w:noProof/>
              </w:rPr>
              <w:t>12．研究の費用負担</w:t>
            </w:r>
            <w:r w:rsidR="006F2DB3">
              <w:rPr>
                <w:noProof/>
                <w:webHidden/>
              </w:rPr>
              <w:tab/>
            </w:r>
            <w:r w:rsidR="006F2DB3">
              <w:rPr>
                <w:noProof/>
                <w:webHidden/>
              </w:rPr>
              <w:fldChar w:fldCharType="begin"/>
            </w:r>
            <w:r w:rsidR="006F2DB3">
              <w:rPr>
                <w:noProof/>
                <w:webHidden/>
              </w:rPr>
              <w:instrText xml:space="preserve"> PAGEREF _Toc12865344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74C532B3" w14:textId="78CEB478" w:rsidR="006F2DB3" w:rsidRDefault="00C57600">
          <w:pPr>
            <w:pStyle w:val="20"/>
            <w:tabs>
              <w:tab w:val="right" w:leader="dot" w:pos="8494"/>
            </w:tabs>
            <w:rPr>
              <w:rFonts w:asciiTheme="minorHAnsi" w:hAnsiTheme="minorHAnsi" w:cstheme="minorBidi"/>
              <w:noProof/>
              <w:kern w:val="2"/>
              <w:sz w:val="21"/>
              <w:szCs w:val="22"/>
              <w:lang w:val="en-US"/>
            </w:rPr>
          </w:pPr>
          <w:hyperlink w:anchor="_Toc12865345" w:history="1">
            <w:r w:rsidR="006F2DB3" w:rsidRPr="00272ED7">
              <w:rPr>
                <w:rStyle w:val="a7"/>
                <w:noProof/>
              </w:rPr>
              <w:t>12.1．資金源及び財政上の関係</w:t>
            </w:r>
            <w:r w:rsidR="006F2DB3">
              <w:rPr>
                <w:noProof/>
                <w:webHidden/>
              </w:rPr>
              <w:tab/>
            </w:r>
            <w:r w:rsidR="006F2DB3">
              <w:rPr>
                <w:noProof/>
                <w:webHidden/>
              </w:rPr>
              <w:fldChar w:fldCharType="begin"/>
            </w:r>
            <w:r w:rsidR="006F2DB3">
              <w:rPr>
                <w:noProof/>
                <w:webHidden/>
              </w:rPr>
              <w:instrText xml:space="preserve"> PAGEREF _Toc12865345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4C36F596" w14:textId="0241B3C1" w:rsidR="006F2DB3" w:rsidRDefault="00C57600">
          <w:pPr>
            <w:pStyle w:val="20"/>
            <w:tabs>
              <w:tab w:val="right" w:leader="dot" w:pos="8494"/>
            </w:tabs>
            <w:rPr>
              <w:rFonts w:asciiTheme="minorHAnsi" w:hAnsiTheme="minorHAnsi" w:cstheme="minorBidi"/>
              <w:noProof/>
              <w:kern w:val="2"/>
              <w:sz w:val="21"/>
              <w:szCs w:val="22"/>
              <w:lang w:val="en-US"/>
            </w:rPr>
          </w:pPr>
          <w:hyperlink w:anchor="_Toc12865346" w:history="1">
            <w:r w:rsidR="006F2DB3" w:rsidRPr="00272ED7">
              <w:rPr>
                <w:rStyle w:val="a7"/>
                <w:noProof/>
              </w:rPr>
              <w:t>12.2．治療に関する費用</w:t>
            </w:r>
            <w:r w:rsidR="006F2DB3">
              <w:rPr>
                <w:noProof/>
                <w:webHidden/>
              </w:rPr>
              <w:tab/>
            </w:r>
            <w:r w:rsidR="006F2DB3">
              <w:rPr>
                <w:noProof/>
                <w:webHidden/>
              </w:rPr>
              <w:fldChar w:fldCharType="begin"/>
            </w:r>
            <w:r w:rsidR="006F2DB3">
              <w:rPr>
                <w:noProof/>
                <w:webHidden/>
              </w:rPr>
              <w:instrText xml:space="preserve"> PAGEREF _Toc12865346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73785F5E" w14:textId="49A27B5D" w:rsidR="006F2DB3" w:rsidRDefault="00C57600">
          <w:pPr>
            <w:pStyle w:val="20"/>
            <w:tabs>
              <w:tab w:val="right" w:leader="dot" w:pos="8494"/>
            </w:tabs>
            <w:rPr>
              <w:rFonts w:asciiTheme="minorHAnsi" w:hAnsiTheme="minorHAnsi" w:cstheme="minorBidi"/>
              <w:noProof/>
              <w:kern w:val="2"/>
              <w:sz w:val="21"/>
              <w:szCs w:val="22"/>
              <w:lang w:val="en-US"/>
            </w:rPr>
          </w:pPr>
          <w:hyperlink w:anchor="_Toc12865347" w:history="1">
            <w:r w:rsidR="006F2DB3" w:rsidRPr="00272ED7">
              <w:rPr>
                <w:rStyle w:val="a7"/>
                <w:noProof/>
              </w:rPr>
              <w:t>12.3．健康被害に対する補償</w:t>
            </w:r>
            <w:r w:rsidR="006F2DB3">
              <w:rPr>
                <w:noProof/>
                <w:webHidden/>
              </w:rPr>
              <w:tab/>
            </w:r>
            <w:r w:rsidR="006F2DB3">
              <w:rPr>
                <w:noProof/>
                <w:webHidden/>
              </w:rPr>
              <w:fldChar w:fldCharType="begin"/>
            </w:r>
            <w:r w:rsidR="006F2DB3">
              <w:rPr>
                <w:noProof/>
                <w:webHidden/>
              </w:rPr>
              <w:instrText xml:space="preserve"> PAGEREF _Toc12865347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6BEF9E38" w14:textId="5A2F32F7" w:rsidR="006F2DB3" w:rsidRDefault="00C57600">
          <w:pPr>
            <w:pStyle w:val="11"/>
            <w:tabs>
              <w:tab w:val="right" w:leader="dot" w:pos="8494"/>
            </w:tabs>
            <w:rPr>
              <w:rFonts w:asciiTheme="minorHAnsi" w:hAnsiTheme="minorHAnsi" w:cstheme="minorBidi"/>
              <w:noProof/>
              <w:kern w:val="2"/>
              <w:sz w:val="21"/>
              <w:szCs w:val="22"/>
              <w:lang w:val="en-US"/>
            </w:rPr>
          </w:pPr>
          <w:hyperlink w:anchor="_Toc12865348" w:history="1">
            <w:r w:rsidR="006F2DB3" w:rsidRPr="00272ED7">
              <w:rPr>
                <w:rStyle w:val="a7"/>
                <w:noProof/>
              </w:rPr>
              <w:t>13. 研究等における医学倫理的配慮について</w:t>
            </w:r>
            <w:r w:rsidR="006F2DB3">
              <w:rPr>
                <w:noProof/>
                <w:webHidden/>
              </w:rPr>
              <w:tab/>
            </w:r>
            <w:r w:rsidR="006F2DB3">
              <w:rPr>
                <w:noProof/>
                <w:webHidden/>
              </w:rPr>
              <w:fldChar w:fldCharType="begin"/>
            </w:r>
            <w:r w:rsidR="006F2DB3">
              <w:rPr>
                <w:noProof/>
                <w:webHidden/>
              </w:rPr>
              <w:instrText xml:space="preserve"> PAGEREF _Toc12865348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6295BAF6" w14:textId="5C3D73B1" w:rsidR="006F2DB3" w:rsidRDefault="00C57600">
          <w:pPr>
            <w:pStyle w:val="20"/>
            <w:tabs>
              <w:tab w:val="right" w:leader="dot" w:pos="8494"/>
            </w:tabs>
            <w:rPr>
              <w:rFonts w:asciiTheme="minorHAnsi" w:hAnsiTheme="minorHAnsi" w:cstheme="minorBidi"/>
              <w:noProof/>
              <w:kern w:val="2"/>
              <w:sz w:val="21"/>
              <w:szCs w:val="22"/>
              <w:lang w:val="en-US"/>
            </w:rPr>
          </w:pPr>
          <w:hyperlink w:anchor="_Toc12865349" w:history="1">
            <w:r w:rsidR="006F2DB3" w:rsidRPr="00272ED7">
              <w:rPr>
                <w:rStyle w:val="a7"/>
                <w:noProof/>
              </w:rPr>
              <w:t>13.1．研究等の対象となる個人の人権の擁護</w:t>
            </w:r>
            <w:r w:rsidR="006F2DB3">
              <w:rPr>
                <w:noProof/>
                <w:webHidden/>
              </w:rPr>
              <w:tab/>
            </w:r>
            <w:r w:rsidR="006F2DB3">
              <w:rPr>
                <w:noProof/>
                <w:webHidden/>
              </w:rPr>
              <w:fldChar w:fldCharType="begin"/>
            </w:r>
            <w:r w:rsidR="006F2DB3">
              <w:rPr>
                <w:noProof/>
                <w:webHidden/>
              </w:rPr>
              <w:instrText xml:space="preserve"> PAGEREF _Toc12865349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25324982" w14:textId="003D52ED" w:rsidR="006F2DB3" w:rsidRDefault="00C57600">
          <w:pPr>
            <w:pStyle w:val="20"/>
            <w:tabs>
              <w:tab w:val="right" w:leader="dot" w:pos="8494"/>
            </w:tabs>
            <w:rPr>
              <w:rFonts w:asciiTheme="minorHAnsi" w:hAnsiTheme="minorHAnsi" w:cstheme="minorBidi"/>
              <w:noProof/>
              <w:kern w:val="2"/>
              <w:sz w:val="21"/>
              <w:szCs w:val="22"/>
              <w:lang w:val="en-US"/>
            </w:rPr>
          </w:pPr>
          <w:hyperlink w:anchor="_Toc12865350" w:history="1">
            <w:r w:rsidR="006F2DB3" w:rsidRPr="00272ED7">
              <w:rPr>
                <w:rStyle w:val="a7"/>
                <w:noProof/>
              </w:rPr>
              <w:t>13.3．医学上の貢献の予測</w:t>
            </w:r>
            <w:r w:rsidR="006F2DB3">
              <w:rPr>
                <w:noProof/>
                <w:webHidden/>
              </w:rPr>
              <w:tab/>
            </w:r>
            <w:r w:rsidR="006F2DB3">
              <w:rPr>
                <w:noProof/>
                <w:webHidden/>
              </w:rPr>
              <w:fldChar w:fldCharType="begin"/>
            </w:r>
            <w:r w:rsidR="006F2DB3">
              <w:rPr>
                <w:noProof/>
                <w:webHidden/>
              </w:rPr>
              <w:instrText xml:space="preserve"> PAGEREF _Toc12865350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153AC769" w14:textId="71170216" w:rsidR="006F2DB3" w:rsidRDefault="00C57600">
          <w:pPr>
            <w:pStyle w:val="20"/>
            <w:tabs>
              <w:tab w:val="right" w:leader="dot" w:pos="8494"/>
            </w:tabs>
            <w:rPr>
              <w:rFonts w:asciiTheme="minorHAnsi" w:hAnsiTheme="minorHAnsi" w:cstheme="minorBidi"/>
              <w:noProof/>
              <w:kern w:val="2"/>
              <w:sz w:val="21"/>
              <w:szCs w:val="22"/>
              <w:lang w:val="en-US"/>
            </w:rPr>
          </w:pPr>
          <w:hyperlink w:anchor="_Toc12865351" w:history="1">
            <w:r w:rsidR="006F2DB3" w:rsidRPr="00272ED7">
              <w:rPr>
                <w:rStyle w:val="a7"/>
                <w:noProof/>
              </w:rPr>
              <w:t>13.4．研究等の対象となる個人及び代諾者に同意を得る方法</w:t>
            </w:r>
            <w:r w:rsidR="006F2DB3">
              <w:rPr>
                <w:noProof/>
                <w:webHidden/>
              </w:rPr>
              <w:tab/>
            </w:r>
            <w:r w:rsidR="006F2DB3">
              <w:rPr>
                <w:noProof/>
                <w:webHidden/>
              </w:rPr>
              <w:fldChar w:fldCharType="begin"/>
            </w:r>
            <w:r w:rsidR="006F2DB3">
              <w:rPr>
                <w:noProof/>
                <w:webHidden/>
              </w:rPr>
              <w:instrText xml:space="preserve"> PAGEREF _Toc12865351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0B00D00E" w14:textId="5A266A54" w:rsidR="006F2DB3" w:rsidRDefault="00C57600">
          <w:pPr>
            <w:pStyle w:val="20"/>
            <w:tabs>
              <w:tab w:val="right" w:leader="dot" w:pos="8494"/>
            </w:tabs>
            <w:rPr>
              <w:rFonts w:asciiTheme="minorHAnsi" w:hAnsiTheme="minorHAnsi" w:cstheme="minorBidi"/>
              <w:noProof/>
              <w:kern w:val="2"/>
              <w:sz w:val="21"/>
              <w:szCs w:val="22"/>
              <w:lang w:val="en-US"/>
            </w:rPr>
          </w:pPr>
          <w:hyperlink w:anchor="_Toc12865352" w:history="1">
            <w:r w:rsidR="006F2DB3" w:rsidRPr="00272ED7">
              <w:rPr>
                <w:rStyle w:val="a7"/>
                <w:noProof/>
              </w:rPr>
              <w:t>13.5．同意説明文書の内容</w:t>
            </w:r>
            <w:r w:rsidR="006F2DB3">
              <w:rPr>
                <w:noProof/>
                <w:webHidden/>
              </w:rPr>
              <w:tab/>
            </w:r>
            <w:r w:rsidR="006F2DB3">
              <w:rPr>
                <w:noProof/>
                <w:webHidden/>
              </w:rPr>
              <w:fldChar w:fldCharType="begin"/>
            </w:r>
            <w:r w:rsidR="006F2DB3">
              <w:rPr>
                <w:noProof/>
                <w:webHidden/>
              </w:rPr>
              <w:instrText xml:space="preserve"> PAGEREF _Toc12865352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393A5272" w14:textId="0F1C0557" w:rsidR="006F2DB3" w:rsidRDefault="00C57600">
          <w:pPr>
            <w:pStyle w:val="20"/>
            <w:tabs>
              <w:tab w:val="right" w:leader="dot" w:pos="8494"/>
            </w:tabs>
            <w:rPr>
              <w:rFonts w:asciiTheme="minorHAnsi" w:hAnsiTheme="minorHAnsi" w:cstheme="minorBidi"/>
              <w:noProof/>
              <w:kern w:val="2"/>
              <w:sz w:val="21"/>
              <w:szCs w:val="22"/>
              <w:lang w:val="en-US"/>
            </w:rPr>
          </w:pPr>
          <w:hyperlink w:anchor="_Toc12865353" w:history="1">
            <w:r w:rsidR="006F2DB3" w:rsidRPr="00272ED7">
              <w:rPr>
                <w:rStyle w:val="a7"/>
                <w:noProof/>
              </w:rPr>
              <w:t>13.6．同意取得時期</w:t>
            </w:r>
            <w:r w:rsidR="006F2DB3">
              <w:rPr>
                <w:noProof/>
                <w:webHidden/>
              </w:rPr>
              <w:tab/>
            </w:r>
            <w:r w:rsidR="006F2DB3">
              <w:rPr>
                <w:noProof/>
                <w:webHidden/>
              </w:rPr>
              <w:fldChar w:fldCharType="begin"/>
            </w:r>
            <w:r w:rsidR="006F2DB3">
              <w:rPr>
                <w:noProof/>
                <w:webHidden/>
              </w:rPr>
              <w:instrText xml:space="preserve"> PAGEREF _Toc12865353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0D79C372" w14:textId="4A4CA52A" w:rsidR="006F2DB3" w:rsidRDefault="00C57600">
          <w:pPr>
            <w:pStyle w:val="20"/>
            <w:tabs>
              <w:tab w:val="right" w:leader="dot" w:pos="8494"/>
            </w:tabs>
            <w:rPr>
              <w:rFonts w:asciiTheme="minorHAnsi" w:hAnsiTheme="minorHAnsi" w:cstheme="minorBidi"/>
              <w:noProof/>
              <w:kern w:val="2"/>
              <w:sz w:val="21"/>
              <w:szCs w:val="22"/>
              <w:lang w:val="en-US"/>
            </w:rPr>
          </w:pPr>
          <w:hyperlink w:anchor="_Toc12865354" w:history="1">
            <w:r w:rsidR="006F2DB3" w:rsidRPr="00272ED7">
              <w:rPr>
                <w:rStyle w:val="a7"/>
                <w:noProof/>
              </w:rPr>
              <w:t>13.7．患者の秘密保護</w:t>
            </w:r>
            <w:r w:rsidR="006F2DB3">
              <w:rPr>
                <w:noProof/>
                <w:webHidden/>
              </w:rPr>
              <w:tab/>
            </w:r>
            <w:r w:rsidR="006F2DB3">
              <w:rPr>
                <w:noProof/>
                <w:webHidden/>
              </w:rPr>
              <w:fldChar w:fldCharType="begin"/>
            </w:r>
            <w:r w:rsidR="006F2DB3">
              <w:rPr>
                <w:noProof/>
                <w:webHidden/>
              </w:rPr>
              <w:instrText xml:space="preserve"> PAGEREF _Toc12865354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134BB2B3" w14:textId="746723FF" w:rsidR="006F2DB3" w:rsidRDefault="00C57600">
          <w:pPr>
            <w:pStyle w:val="11"/>
            <w:tabs>
              <w:tab w:val="right" w:leader="dot" w:pos="8494"/>
            </w:tabs>
            <w:rPr>
              <w:rFonts w:asciiTheme="minorHAnsi" w:hAnsiTheme="minorHAnsi" w:cstheme="minorBidi"/>
              <w:noProof/>
              <w:kern w:val="2"/>
              <w:sz w:val="21"/>
              <w:szCs w:val="22"/>
              <w:lang w:val="en-US"/>
            </w:rPr>
          </w:pPr>
          <w:hyperlink w:anchor="_Toc12865355" w:history="1">
            <w:r w:rsidR="006F2DB3" w:rsidRPr="00272ED7">
              <w:rPr>
                <w:rStyle w:val="a7"/>
                <w:noProof/>
              </w:rPr>
              <w:t>14．プロトコールの遵守</w:t>
            </w:r>
            <w:r w:rsidR="006F2DB3">
              <w:rPr>
                <w:noProof/>
                <w:webHidden/>
              </w:rPr>
              <w:tab/>
            </w:r>
            <w:r w:rsidR="006F2DB3">
              <w:rPr>
                <w:noProof/>
                <w:webHidden/>
              </w:rPr>
              <w:fldChar w:fldCharType="begin"/>
            </w:r>
            <w:r w:rsidR="006F2DB3">
              <w:rPr>
                <w:noProof/>
                <w:webHidden/>
              </w:rPr>
              <w:instrText xml:space="preserve"> PAGEREF _Toc12865355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5A133F0A" w14:textId="7596A11C" w:rsidR="006F2DB3" w:rsidRDefault="00C57600">
          <w:pPr>
            <w:pStyle w:val="11"/>
            <w:tabs>
              <w:tab w:val="right" w:leader="dot" w:pos="8494"/>
            </w:tabs>
            <w:rPr>
              <w:rFonts w:asciiTheme="minorHAnsi" w:hAnsiTheme="minorHAnsi" w:cstheme="minorBidi"/>
              <w:noProof/>
              <w:kern w:val="2"/>
              <w:sz w:val="21"/>
              <w:szCs w:val="22"/>
              <w:lang w:val="en-US"/>
            </w:rPr>
          </w:pPr>
          <w:hyperlink w:anchor="_Toc12865356" w:history="1">
            <w:r w:rsidR="006F2DB3" w:rsidRPr="00272ED7">
              <w:rPr>
                <w:rStyle w:val="a7"/>
                <w:noProof/>
              </w:rPr>
              <w:t>15．倫理審査委員会の承認</w:t>
            </w:r>
            <w:r w:rsidR="006F2DB3">
              <w:rPr>
                <w:noProof/>
                <w:webHidden/>
              </w:rPr>
              <w:tab/>
            </w:r>
            <w:r w:rsidR="006F2DB3">
              <w:rPr>
                <w:noProof/>
                <w:webHidden/>
              </w:rPr>
              <w:fldChar w:fldCharType="begin"/>
            </w:r>
            <w:r w:rsidR="006F2DB3">
              <w:rPr>
                <w:noProof/>
                <w:webHidden/>
              </w:rPr>
              <w:instrText xml:space="preserve"> PAGEREF _Toc12865356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2F663D72" w14:textId="5797B166" w:rsidR="006F2DB3" w:rsidRDefault="00C57600">
          <w:pPr>
            <w:pStyle w:val="20"/>
            <w:tabs>
              <w:tab w:val="right" w:leader="dot" w:pos="8494"/>
            </w:tabs>
            <w:rPr>
              <w:rFonts w:asciiTheme="minorHAnsi" w:hAnsiTheme="minorHAnsi" w:cstheme="minorBidi"/>
              <w:noProof/>
              <w:kern w:val="2"/>
              <w:sz w:val="21"/>
              <w:szCs w:val="22"/>
              <w:lang w:val="en-US"/>
            </w:rPr>
          </w:pPr>
          <w:hyperlink w:anchor="_Toc12865357" w:history="1">
            <w:r w:rsidR="006F2DB3" w:rsidRPr="00272ED7">
              <w:rPr>
                <w:rStyle w:val="a7"/>
                <w:noProof/>
              </w:rPr>
              <w:t>15.1．研究参加開始時の承認</w:t>
            </w:r>
            <w:r w:rsidR="006F2DB3">
              <w:rPr>
                <w:noProof/>
                <w:webHidden/>
              </w:rPr>
              <w:tab/>
            </w:r>
            <w:r w:rsidR="006F2DB3">
              <w:rPr>
                <w:noProof/>
                <w:webHidden/>
              </w:rPr>
              <w:fldChar w:fldCharType="begin"/>
            </w:r>
            <w:r w:rsidR="006F2DB3">
              <w:rPr>
                <w:noProof/>
                <w:webHidden/>
              </w:rPr>
              <w:instrText xml:space="preserve"> PAGEREF _Toc12865357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00501DF4" w14:textId="6B560536" w:rsidR="006F2DB3" w:rsidRDefault="00C57600">
          <w:pPr>
            <w:pStyle w:val="20"/>
            <w:tabs>
              <w:tab w:val="right" w:leader="dot" w:pos="8494"/>
            </w:tabs>
            <w:rPr>
              <w:rFonts w:asciiTheme="minorHAnsi" w:hAnsiTheme="minorHAnsi" w:cstheme="minorBidi"/>
              <w:noProof/>
              <w:kern w:val="2"/>
              <w:sz w:val="21"/>
              <w:szCs w:val="22"/>
              <w:lang w:val="en-US"/>
            </w:rPr>
          </w:pPr>
          <w:hyperlink w:anchor="_Toc12865358" w:history="1">
            <w:r w:rsidR="006F2DB3" w:rsidRPr="00272ED7">
              <w:rPr>
                <w:rStyle w:val="a7"/>
                <w:noProof/>
              </w:rPr>
              <w:t>15.2．承認の年次更新</w:t>
            </w:r>
            <w:r w:rsidR="006F2DB3">
              <w:rPr>
                <w:noProof/>
                <w:webHidden/>
              </w:rPr>
              <w:tab/>
            </w:r>
            <w:r w:rsidR="006F2DB3">
              <w:rPr>
                <w:noProof/>
                <w:webHidden/>
              </w:rPr>
              <w:fldChar w:fldCharType="begin"/>
            </w:r>
            <w:r w:rsidR="006F2DB3">
              <w:rPr>
                <w:noProof/>
                <w:webHidden/>
              </w:rPr>
              <w:instrText xml:space="preserve"> PAGEREF _Toc12865358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1C99BD75" w14:textId="65FF0EF3" w:rsidR="006F2DB3" w:rsidRDefault="00C57600">
          <w:pPr>
            <w:pStyle w:val="11"/>
            <w:tabs>
              <w:tab w:val="right" w:leader="dot" w:pos="8494"/>
            </w:tabs>
            <w:rPr>
              <w:rFonts w:asciiTheme="minorHAnsi" w:hAnsiTheme="minorHAnsi" w:cstheme="minorBidi"/>
              <w:noProof/>
              <w:kern w:val="2"/>
              <w:sz w:val="21"/>
              <w:szCs w:val="22"/>
              <w:lang w:val="en-US"/>
            </w:rPr>
          </w:pPr>
          <w:hyperlink w:anchor="_Toc12865359" w:history="1">
            <w:r w:rsidR="006F2DB3" w:rsidRPr="00272ED7">
              <w:rPr>
                <w:rStyle w:val="a7"/>
                <w:noProof/>
              </w:rPr>
              <w:t>16．健康被害に対する補償</w:t>
            </w:r>
            <w:r w:rsidR="006F2DB3">
              <w:rPr>
                <w:noProof/>
                <w:webHidden/>
              </w:rPr>
              <w:tab/>
            </w:r>
            <w:r w:rsidR="006F2DB3">
              <w:rPr>
                <w:noProof/>
                <w:webHidden/>
              </w:rPr>
              <w:fldChar w:fldCharType="begin"/>
            </w:r>
            <w:r w:rsidR="006F2DB3">
              <w:rPr>
                <w:noProof/>
                <w:webHidden/>
              </w:rPr>
              <w:instrText xml:space="preserve"> PAGEREF _Toc12865359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5106049A" w14:textId="286F1592" w:rsidR="006F2DB3" w:rsidRDefault="00C57600">
          <w:pPr>
            <w:pStyle w:val="11"/>
            <w:tabs>
              <w:tab w:val="right" w:leader="dot" w:pos="8494"/>
            </w:tabs>
            <w:rPr>
              <w:rFonts w:asciiTheme="minorHAnsi" w:hAnsiTheme="minorHAnsi" w:cstheme="minorBidi"/>
              <w:noProof/>
              <w:kern w:val="2"/>
              <w:sz w:val="21"/>
              <w:szCs w:val="22"/>
              <w:lang w:val="en-US"/>
            </w:rPr>
          </w:pPr>
          <w:hyperlink w:anchor="_Toc12865360" w:history="1">
            <w:r w:rsidR="006F2DB3" w:rsidRPr="00272ED7">
              <w:rPr>
                <w:rStyle w:val="a7"/>
                <w:noProof/>
              </w:rPr>
              <w:t>17．研究に係る情報等の保管および廃棄について</w:t>
            </w:r>
            <w:r w:rsidR="006F2DB3">
              <w:rPr>
                <w:noProof/>
                <w:webHidden/>
              </w:rPr>
              <w:tab/>
            </w:r>
            <w:r w:rsidR="006F2DB3">
              <w:rPr>
                <w:noProof/>
                <w:webHidden/>
              </w:rPr>
              <w:fldChar w:fldCharType="begin"/>
            </w:r>
            <w:r w:rsidR="006F2DB3">
              <w:rPr>
                <w:noProof/>
                <w:webHidden/>
              </w:rPr>
              <w:instrText xml:space="preserve"> PAGEREF _Toc12865360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6EEB5AAA" w14:textId="1BB6F093" w:rsidR="006F2DB3" w:rsidRDefault="00C57600">
          <w:pPr>
            <w:pStyle w:val="20"/>
            <w:tabs>
              <w:tab w:val="right" w:leader="dot" w:pos="8494"/>
            </w:tabs>
            <w:rPr>
              <w:rFonts w:asciiTheme="minorHAnsi" w:hAnsiTheme="minorHAnsi" w:cstheme="minorBidi"/>
              <w:noProof/>
              <w:kern w:val="2"/>
              <w:sz w:val="21"/>
              <w:szCs w:val="22"/>
              <w:lang w:val="en-US"/>
            </w:rPr>
          </w:pPr>
          <w:hyperlink w:anchor="_Toc12865361" w:history="1">
            <w:r w:rsidR="006F2DB3" w:rsidRPr="00272ED7">
              <w:rPr>
                <w:rStyle w:val="a7"/>
                <w:noProof/>
              </w:rPr>
              <w:t>17.1．本研究で収集した情報の二次利用について</w:t>
            </w:r>
            <w:r w:rsidR="006F2DB3">
              <w:rPr>
                <w:noProof/>
                <w:webHidden/>
              </w:rPr>
              <w:tab/>
            </w:r>
            <w:r w:rsidR="006F2DB3">
              <w:rPr>
                <w:noProof/>
                <w:webHidden/>
              </w:rPr>
              <w:fldChar w:fldCharType="begin"/>
            </w:r>
            <w:r w:rsidR="006F2DB3">
              <w:rPr>
                <w:noProof/>
                <w:webHidden/>
              </w:rPr>
              <w:instrText xml:space="preserve"> PAGEREF _Toc12865361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560219FA" w14:textId="30291BAE" w:rsidR="006F2DB3" w:rsidRDefault="00C57600">
          <w:pPr>
            <w:pStyle w:val="11"/>
            <w:tabs>
              <w:tab w:val="right" w:leader="dot" w:pos="8494"/>
            </w:tabs>
            <w:rPr>
              <w:rFonts w:asciiTheme="minorHAnsi" w:hAnsiTheme="minorHAnsi" w:cstheme="minorBidi"/>
              <w:noProof/>
              <w:kern w:val="2"/>
              <w:sz w:val="21"/>
              <w:szCs w:val="22"/>
              <w:lang w:val="en-US"/>
            </w:rPr>
          </w:pPr>
          <w:hyperlink w:anchor="_Toc12865362" w:history="1">
            <w:r w:rsidR="006F2DB3" w:rsidRPr="00272ED7">
              <w:rPr>
                <w:rStyle w:val="a7"/>
                <w:noProof/>
              </w:rPr>
              <w:t>18．研究計画の変更</w:t>
            </w:r>
            <w:r w:rsidR="006F2DB3">
              <w:rPr>
                <w:noProof/>
                <w:webHidden/>
              </w:rPr>
              <w:tab/>
            </w:r>
            <w:r w:rsidR="006F2DB3">
              <w:rPr>
                <w:noProof/>
                <w:webHidden/>
              </w:rPr>
              <w:fldChar w:fldCharType="begin"/>
            </w:r>
            <w:r w:rsidR="006F2DB3">
              <w:rPr>
                <w:noProof/>
                <w:webHidden/>
              </w:rPr>
              <w:instrText xml:space="preserve"> PAGEREF _Toc12865362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29AB6D27" w14:textId="593FC06E" w:rsidR="006F2DB3" w:rsidRDefault="00C57600">
          <w:pPr>
            <w:pStyle w:val="20"/>
            <w:tabs>
              <w:tab w:val="right" w:leader="dot" w:pos="8494"/>
            </w:tabs>
            <w:rPr>
              <w:rFonts w:asciiTheme="minorHAnsi" w:hAnsiTheme="minorHAnsi" w:cstheme="minorBidi"/>
              <w:noProof/>
              <w:kern w:val="2"/>
              <w:sz w:val="21"/>
              <w:szCs w:val="22"/>
              <w:lang w:val="en-US"/>
            </w:rPr>
          </w:pPr>
          <w:hyperlink w:anchor="_Toc12865363" w:history="1">
            <w:r w:rsidR="006F2DB3" w:rsidRPr="00272ED7">
              <w:rPr>
                <w:rStyle w:val="a7"/>
                <w:noProof/>
              </w:rPr>
              <w:t>18.1. プロトコールの内容変更の区分</w:t>
            </w:r>
            <w:r w:rsidR="006F2DB3">
              <w:rPr>
                <w:noProof/>
                <w:webHidden/>
              </w:rPr>
              <w:tab/>
            </w:r>
            <w:r w:rsidR="006F2DB3">
              <w:rPr>
                <w:noProof/>
                <w:webHidden/>
              </w:rPr>
              <w:fldChar w:fldCharType="begin"/>
            </w:r>
            <w:r w:rsidR="006F2DB3">
              <w:rPr>
                <w:noProof/>
                <w:webHidden/>
              </w:rPr>
              <w:instrText xml:space="preserve"> PAGEREF _Toc12865363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30874923" w14:textId="20261D5C" w:rsidR="006F2DB3" w:rsidRDefault="00C57600">
          <w:pPr>
            <w:pStyle w:val="20"/>
            <w:tabs>
              <w:tab w:val="right" w:leader="dot" w:pos="8494"/>
            </w:tabs>
            <w:rPr>
              <w:rFonts w:asciiTheme="minorHAnsi" w:hAnsiTheme="minorHAnsi" w:cstheme="minorBidi"/>
              <w:noProof/>
              <w:kern w:val="2"/>
              <w:sz w:val="21"/>
              <w:szCs w:val="22"/>
              <w:lang w:val="en-US"/>
            </w:rPr>
          </w:pPr>
          <w:hyperlink w:anchor="_Toc12865364" w:history="1">
            <w:r w:rsidR="006F2DB3" w:rsidRPr="00272ED7">
              <w:rPr>
                <w:rStyle w:val="a7"/>
                <w:noProof/>
              </w:rPr>
              <w:t>18.2. プロトコール改正 / 改訂時の施設倫理委員会承認</w:t>
            </w:r>
            <w:r w:rsidR="006F2DB3">
              <w:rPr>
                <w:noProof/>
                <w:webHidden/>
              </w:rPr>
              <w:tab/>
            </w:r>
            <w:r w:rsidR="006F2DB3">
              <w:rPr>
                <w:noProof/>
                <w:webHidden/>
              </w:rPr>
              <w:fldChar w:fldCharType="begin"/>
            </w:r>
            <w:r w:rsidR="006F2DB3">
              <w:rPr>
                <w:noProof/>
                <w:webHidden/>
              </w:rPr>
              <w:instrText xml:space="preserve"> PAGEREF _Toc12865364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510D80A1" w14:textId="2E087910" w:rsidR="006F2DB3" w:rsidRDefault="00C57600">
          <w:pPr>
            <w:pStyle w:val="11"/>
            <w:tabs>
              <w:tab w:val="right" w:leader="dot" w:pos="8494"/>
            </w:tabs>
            <w:rPr>
              <w:rFonts w:asciiTheme="minorHAnsi" w:hAnsiTheme="minorHAnsi" w:cstheme="minorBidi"/>
              <w:noProof/>
              <w:kern w:val="2"/>
              <w:sz w:val="21"/>
              <w:szCs w:val="22"/>
              <w:lang w:val="en-US"/>
            </w:rPr>
          </w:pPr>
          <w:hyperlink w:anchor="_Toc12865365" w:history="1">
            <w:r w:rsidR="006F2DB3" w:rsidRPr="00272ED7">
              <w:rPr>
                <w:rStyle w:val="a7"/>
                <w:noProof/>
              </w:rPr>
              <w:t>19.　研究実施中の管理および有害事象報告について</w:t>
            </w:r>
            <w:r w:rsidR="006F2DB3">
              <w:rPr>
                <w:noProof/>
                <w:webHidden/>
              </w:rPr>
              <w:tab/>
            </w:r>
            <w:r w:rsidR="006F2DB3">
              <w:rPr>
                <w:noProof/>
                <w:webHidden/>
              </w:rPr>
              <w:fldChar w:fldCharType="begin"/>
            </w:r>
            <w:r w:rsidR="006F2DB3">
              <w:rPr>
                <w:noProof/>
                <w:webHidden/>
              </w:rPr>
              <w:instrText xml:space="preserve"> PAGEREF _Toc12865365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0E0C942E" w14:textId="54B69CB1" w:rsidR="006F2DB3" w:rsidRDefault="00C57600">
          <w:pPr>
            <w:pStyle w:val="20"/>
            <w:tabs>
              <w:tab w:val="right" w:leader="dot" w:pos="8494"/>
            </w:tabs>
            <w:rPr>
              <w:rFonts w:asciiTheme="minorHAnsi" w:hAnsiTheme="minorHAnsi" w:cstheme="minorBidi"/>
              <w:noProof/>
              <w:kern w:val="2"/>
              <w:sz w:val="21"/>
              <w:szCs w:val="22"/>
              <w:lang w:val="en-US"/>
            </w:rPr>
          </w:pPr>
          <w:hyperlink w:anchor="_Toc12865366" w:history="1">
            <w:r w:rsidR="006F2DB3" w:rsidRPr="00272ED7">
              <w:rPr>
                <w:rStyle w:val="a7"/>
                <w:noProof/>
              </w:rPr>
              <w:t>19.1. モニタリング</w:t>
            </w:r>
            <w:r w:rsidR="006F2DB3">
              <w:rPr>
                <w:noProof/>
                <w:webHidden/>
              </w:rPr>
              <w:tab/>
            </w:r>
            <w:r w:rsidR="006F2DB3">
              <w:rPr>
                <w:noProof/>
                <w:webHidden/>
              </w:rPr>
              <w:fldChar w:fldCharType="begin"/>
            </w:r>
            <w:r w:rsidR="006F2DB3">
              <w:rPr>
                <w:noProof/>
                <w:webHidden/>
              </w:rPr>
              <w:instrText xml:space="preserve"> PAGEREF _Toc12865366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39D6D93" w14:textId="6A6E9397" w:rsidR="006F2DB3" w:rsidRDefault="00C57600">
          <w:pPr>
            <w:pStyle w:val="20"/>
            <w:tabs>
              <w:tab w:val="right" w:leader="dot" w:pos="8494"/>
            </w:tabs>
            <w:rPr>
              <w:rFonts w:asciiTheme="minorHAnsi" w:hAnsiTheme="minorHAnsi" w:cstheme="minorBidi"/>
              <w:noProof/>
              <w:kern w:val="2"/>
              <w:sz w:val="21"/>
              <w:szCs w:val="22"/>
              <w:lang w:val="en-US"/>
            </w:rPr>
          </w:pPr>
          <w:hyperlink w:anchor="_Toc12865367" w:history="1">
            <w:r w:rsidR="006F2DB3" w:rsidRPr="00272ED7">
              <w:rPr>
                <w:rStyle w:val="a7"/>
                <w:noProof/>
              </w:rPr>
              <w:t>19.2. 監査</w:t>
            </w:r>
            <w:r w:rsidR="006F2DB3">
              <w:rPr>
                <w:noProof/>
                <w:webHidden/>
              </w:rPr>
              <w:tab/>
            </w:r>
            <w:r w:rsidR="006F2DB3">
              <w:rPr>
                <w:noProof/>
                <w:webHidden/>
              </w:rPr>
              <w:fldChar w:fldCharType="begin"/>
            </w:r>
            <w:r w:rsidR="006F2DB3">
              <w:rPr>
                <w:noProof/>
                <w:webHidden/>
              </w:rPr>
              <w:instrText xml:space="preserve"> PAGEREF _Toc12865367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981511C" w14:textId="0E0B230E" w:rsidR="006F2DB3" w:rsidRDefault="00C57600">
          <w:pPr>
            <w:pStyle w:val="20"/>
            <w:tabs>
              <w:tab w:val="right" w:leader="dot" w:pos="8494"/>
            </w:tabs>
            <w:rPr>
              <w:rFonts w:asciiTheme="minorHAnsi" w:hAnsiTheme="minorHAnsi" w:cstheme="minorBidi"/>
              <w:noProof/>
              <w:kern w:val="2"/>
              <w:sz w:val="21"/>
              <w:szCs w:val="22"/>
              <w:lang w:val="en-US"/>
            </w:rPr>
          </w:pPr>
          <w:hyperlink w:anchor="_Toc12865368" w:history="1">
            <w:r w:rsidR="006F2DB3" w:rsidRPr="00272ED7">
              <w:rPr>
                <w:rStyle w:val="a7"/>
                <w:noProof/>
              </w:rPr>
              <w:t>19.3. 有害事象報告</w:t>
            </w:r>
            <w:r w:rsidR="006F2DB3">
              <w:rPr>
                <w:noProof/>
                <w:webHidden/>
              </w:rPr>
              <w:tab/>
            </w:r>
            <w:r w:rsidR="006F2DB3">
              <w:rPr>
                <w:noProof/>
                <w:webHidden/>
              </w:rPr>
              <w:fldChar w:fldCharType="begin"/>
            </w:r>
            <w:r w:rsidR="006F2DB3">
              <w:rPr>
                <w:noProof/>
                <w:webHidden/>
              </w:rPr>
              <w:instrText xml:space="preserve"> PAGEREF _Toc12865368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1115533" w14:textId="4D479FA2" w:rsidR="006F2DB3" w:rsidRDefault="00C57600">
          <w:pPr>
            <w:pStyle w:val="11"/>
            <w:tabs>
              <w:tab w:val="right" w:leader="dot" w:pos="8494"/>
            </w:tabs>
            <w:rPr>
              <w:rFonts w:asciiTheme="minorHAnsi" w:hAnsiTheme="minorHAnsi" w:cstheme="minorBidi"/>
              <w:noProof/>
              <w:kern w:val="2"/>
              <w:sz w:val="21"/>
              <w:szCs w:val="22"/>
              <w:lang w:val="en-US"/>
            </w:rPr>
          </w:pPr>
          <w:hyperlink w:anchor="_Toc12865369" w:history="1">
            <w:r w:rsidR="006F2DB3" w:rsidRPr="00272ED7">
              <w:rPr>
                <w:rStyle w:val="a7"/>
                <w:noProof/>
              </w:rPr>
              <w:t>20．研究報告・発表</w:t>
            </w:r>
            <w:r w:rsidR="006F2DB3">
              <w:rPr>
                <w:noProof/>
                <w:webHidden/>
              </w:rPr>
              <w:tab/>
            </w:r>
            <w:r w:rsidR="006F2DB3">
              <w:rPr>
                <w:noProof/>
                <w:webHidden/>
              </w:rPr>
              <w:fldChar w:fldCharType="begin"/>
            </w:r>
            <w:r w:rsidR="006F2DB3">
              <w:rPr>
                <w:noProof/>
                <w:webHidden/>
              </w:rPr>
              <w:instrText xml:space="preserve"> PAGEREF _Toc12865369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60FE3794" w14:textId="0290AAD5" w:rsidR="006F2DB3" w:rsidRDefault="00C57600">
          <w:pPr>
            <w:pStyle w:val="11"/>
            <w:tabs>
              <w:tab w:val="right" w:leader="dot" w:pos="8494"/>
            </w:tabs>
            <w:rPr>
              <w:rFonts w:asciiTheme="minorHAnsi" w:hAnsiTheme="minorHAnsi" w:cstheme="minorBidi"/>
              <w:noProof/>
              <w:kern w:val="2"/>
              <w:sz w:val="21"/>
              <w:szCs w:val="22"/>
              <w:lang w:val="en-US"/>
            </w:rPr>
          </w:pPr>
          <w:hyperlink w:anchor="_Toc12865370" w:history="1">
            <w:r w:rsidR="006F2DB3" w:rsidRPr="00272ED7">
              <w:rPr>
                <w:rStyle w:val="a7"/>
                <w:noProof/>
              </w:rPr>
              <w:t>21．研究期間</w:t>
            </w:r>
            <w:r w:rsidR="006F2DB3">
              <w:rPr>
                <w:noProof/>
                <w:webHidden/>
              </w:rPr>
              <w:tab/>
            </w:r>
            <w:r w:rsidR="006F2DB3">
              <w:rPr>
                <w:noProof/>
                <w:webHidden/>
              </w:rPr>
              <w:fldChar w:fldCharType="begin"/>
            </w:r>
            <w:r w:rsidR="006F2DB3">
              <w:rPr>
                <w:noProof/>
                <w:webHidden/>
              </w:rPr>
              <w:instrText xml:space="preserve"> PAGEREF _Toc12865370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3A70F7F" w14:textId="16E355FB" w:rsidR="006F2DB3" w:rsidRDefault="00C57600">
          <w:pPr>
            <w:pStyle w:val="11"/>
            <w:tabs>
              <w:tab w:val="right" w:leader="dot" w:pos="8494"/>
            </w:tabs>
            <w:rPr>
              <w:rFonts w:asciiTheme="minorHAnsi" w:hAnsiTheme="minorHAnsi" w:cstheme="minorBidi"/>
              <w:noProof/>
              <w:kern w:val="2"/>
              <w:sz w:val="21"/>
              <w:szCs w:val="22"/>
              <w:lang w:val="en-US"/>
            </w:rPr>
          </w:pPr>
          <w:hyperlink w:anchor="_Toc12865371" w:history="1">
            <w:r w:rsidR="006F2DB3" w:rsidRPr="00272ED7">
              <w:rPr>
                <w:rStyle w:val="a7"/>
                <w:noProof/>
              </w:rPr>
              <w:t>22．研究組織</w:t>
            </w:r>
            <w:r w:rsidR="006F2DB3">
              <w:rPr>
                <w:noProof/>
                <w:webHidden/>
              </w:rPr>
              <w:tab/>
            </w:r>
            <w:r w:rsidR="006F2DB3">
              <w:rPr>
                <w:noProof/>
                <w:webHidden/>
              </w:rPr>
              <w:fldChar w:fldCharType="begin"/>
            </w:r>
            <w:r w:rsidR="006F2DB3">
              <w:rPr>
                <w:noProof/>
                <w:webHidden/>
              </w:rPr>
              <w:instrText xml:space="preserve"> PAGEREF _Toc12865371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0B0A2FBD" w14:textId="3D81CDB1" w:rsidR="006F2DB3" w:rsidRDefault="00C57600">
          <w:pPr>
            <w:pStyle w:val="20"/>
            <w:tabs>
              <w:tab w:val="right" w:leader="dot" w:pos="8494"/>
            </w:tabs>
            <w:rPr>
              <w:rFonts w:asciiTheme="minorHAnsi" w:hAnsiTheme="minorHAnsi" w:cstheme="minorBidi"/>
              <w:noProof/>
              <w:kern w:val="2"/>
              <w:sz w:val="21"/>
              <w:szCs w:val="22"/>
              <w:lang w:val="en-US"/>
            </w:rPr>
          </w:pPr>
          <w:hyperlink w:anchor="_Toc12865372" w:history="1">
            <w:r w:rsidR="006F2DB3" w:rsidRPr="00272ED7">
              <w:rPr>
                <w:rStyle w:val="a7"/>
                <w:noProof/>
              </w:rPr>
              <w:t>22.1.　研究実施責任</w:t>
            </w:r>
            <w:r w:rsidR="006F2DB3">
              <w:rPr>
                <w:noProof/>
                <w:webHidden/>
              </w:rPr>
              <w:tab/>
            </w:r>
            <w:r w:rsidR="006F2DB3">
              <w:rPr>
                <w:noProof/>
                <w:webHidden/>
              </w:rPr>
              <w:fldChar w:fldCharType="begin"/>
            </w:r>
            <w:r w:rsidR="006F2DB3">
              <w:rPr>
                <w:noProof/>
                <w:webHidden/>
              </w:rPr>
              <w:instrText xml:space="preserve"> PAGEREF _Toc12865372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20D62CC5" w14:textId="59D1BB19" w:rsidR="006F2DB3" w:rsidRDefault="00C57600">
          <w:pPr>
            <w:pStyle w:val="20"/>
            <w:tabs>
              <w:tab w:val="right" w:leader="dot" w:pos="8494"/>
            </w:tabs>
            <w:rPr>
              <w:rFonts w:asciiTheme="minorHAnsi" w:hAnsiTheme="minorHAnsi" w:cstheme="minorBidi"/>
              <w:noProof/>
              <w:kern w:val="2"/>
              <w:sz w:val="21"/>
              <w:szCs w:val="22"/>
              <w:lang w:val="en-US"/>
            </w:rPr>
          </w:pPr>
          <w:hyperlink w:anchor="_Toc12865373" w:history="1">
            <w:r w:rsidR="006F2DB3" w:rsidRPr="00272ED7">
              <w:rPr>
                <w:rStyle w:val="a7"/>
                <w:noProof/>
              </w:rPr>
              <w:t>22.2.　CML TFR研究実行委員会</w:t>
            </w:r>
            <w:r w:rsidR="006F2DB3">
              <w:rPr>
                <w:noProof/>
                <w:webHidden/>
              </w:rPr>
              <w:tab/>
            </w:r>
            <w:r w:rsidR="006F2DB3">
              <w:rPr>
                <w:noProof/>
                <w:webHidden/>
              </w:rPr>
              <w:fldChar w:fldCharType="begin"/>
            </w:r>
            <w:r w:rsidR="006F2DB3">
              <w:rPr>
                <w:noProof/>
                <w:webHidden/>
              </w:rPr>
              <w:instrText xml:space="preserve"> PAGEREF _Toc12865373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53804381" w14:textId="383062C1" w:rsidR="006F2DB3" w:rsidRDefault="00C57600">
          <w:pPr>
            <w:pStyle w:val="20"/>
            <w:tabs>
              <w:tab w:val="right" w:leader="dot" w:pos="8494"/>
            </w:tabs>
            <w:rPr>
              <w:rFonts w:asciiTheme="minorHAnsi" w:hAnsiTheme="minorHAnsi" w:cstheme="minorBidi"/>
              <w:noProof/>
              <w:kern w:val="2"/>
              <w:sz w:val="21"/>
              <w:szCs w:val="22"/>
              <w:lang w:val="en-US"/>
            </w:rPr>
          </w:pPr>
          <w:hyperlink w:anchor="_Toc12865374" w:history="1">
            <w:r w:rsidR="006F2DB3" w:rsidRPr="00272ED7">
              <w:rPr>
                <w:rStyle w:val="a7"/>
                <w:noProof/>
              </w:rPr>
              <w:t>22.3.　研究事務局：</w:t>
            </w:r>
            <w:r w:rsidR="006F2DB3">
              <w:rPr>
                <w:noProof/>
                <w:webHidden/>
              </w:rPr>
              <w:tab/>
            </w:r>
            <w:r w:rsidR="006F2DB3">
              <w:rPr>
                <w:noProof/>
                <w:webHidden/>
              </w:rPr>
              <w:fldChar w:fldCharType="begin"/>
            </w:r>
            <w:r w:rsidR="006F2DB3">
              <w:rPr>
                <w:noProof/>
                <w:webHidden/>
              </w:rPr>
              <w:instrText xml:space="preserve"> PAGEREF _Toc12865374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7AAA7FB4" w14:textId="0BBCB47D" w:rsidR="006F2DB3" w:rsidRDefault="00C57600">
          <w:pPr>
            <w:pStyle w:val="20"/>
            <w:tabs>
              <w:tab w:val="right" w:leader="dot" w:pos="8494"/>
            </w:tabs>
            <w:rPr>
              <w:rFonts w:asciiTheme="minorHAnsi" w:hAnsiTheme="minorHAnsi" w:cstheme="minorBidi"/>
              <w:noProof/>
              <w:kern w:val="2"/>
              <w:sz w:val="21"/>
              <w:szCs w:val="22"/>
              <w:lang w:val="en-US"/>
            </w:rPr>
          </w:pPr>
          <w:hyperlink w:anchor="_Toc12865375" w:history="1">
            <w:r w:rsidR="006F2DB3" w:rsidRPr="00272ED7">
              <w:rPr>
                <w:rStyle w:val="a7"/>
                <w:noProof/>
              </w:rPr>
              <w:t>22.4.　統計解析責任者</w:t>
            </w:r>
            <w:r w:rsidR="006F2DB3">
              <w:rPr>
                <w:noProof/>
                <w:webHidden/>
              </w:rPr>
              <w:tab/>
            </w:r>
            <w:r w:rsidR="006F2DB3">
              <w:rPr>
                <w:noProof/>
                <w:webHidden/>
              </w:rPr>
              <w:fldChar w:fldCharType="begin"/>
            </w:r>
            <w:r w:rsidR="006F2DB3">
              <w:rPr>
                <w:noProof/>
                <w:webHidden/>
              </w:rPr>
              <w:instrText xml:space="preserve"> PAGEREF _Toc12865375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79F22668" w14:textId="2F6C8604" w:rsidR="006F2DB3" w:rsidRDefault="00C57600">
          <w:pPr>
            <w:pStyle w:val="20"/>
            <w:tabs>
              <w:tab w:val="right" w:leader="dot" w:pos="8494"/>
            </w:tabs>
            <w:rPr>
              <w:rFonts w:asciiTheme="minorHAnsi" w:hAnsiTheme="minorHAnsi" w:cstheme="minorBidi"/>
              <w:noProof/>
              <w:kern w:val="2"/>
              <w:sz w:val="21"/>
              <w:szCs w:val="22"/>
              <w:lang w:val="en-US"/>
            </w:rPr>
          </w:pPr>
          <w:hyperlink w:anchor="_Toc12865376" w:history="1">
            <w:r w:rsidR="006F2DB3" w:rsidRPr="00272ED7">
              <w:rPr>
                <w:rStyle w:val="a7"/>
                <w:noProof/>
              </w:rPr>
              <w:t>22.5. データセンター</w:t>
            </w:r>
            <w:r w:rsidR="006F2DB3">
              <w:rPr>
                <w:noProof/>
                <w:webHidden/>
              </w:rPr>
              <w:tab/>
            </w:r>
            <w:r w:rsidR="006F2DB3">
              <w:rPr>
                <w:noProof/>
                <w:webHidden/>
              </w:rPr>
              <w:fldChar w:fldCharType="begin"/>
            </w:r>
            <w:r w:rsidR="006F2DB3">
              <w:rPr>
                <w:noProof/>
                <w:webHidden/>
              </w:rPr>
              <w:instrText xml:space="preserve"> PAGEREF _Toc12865376 \h </w:instrText>
            </w:r>
            <w:r w:rsidR="006F2DB3">
              <w:rPr>
                <w:noProof/>
                <w:webHidden/>
              </w:rPr>
            </w:r>
            <w:r w:rsidR="006F2DB3">
              <w:rPr>
                <w:noProof/>
                <w:webHidden/>
              </w:rPr>
              <w:fldChar w:fldCharType="separate"/>
            </w:r>
            <w:r w:rsidR="006F2DB3">
              <w:rPr>
                <w:noProof/>
                <w:webHidden/>
              </w:rPr>
              <w:t>30</w:t>
            </w:r>
            <w:r w:rsidR="006F2DB3">
              <w:rPr>
                <w:noProof/>
                <w:webHidden/>
              </w:rPr>
              <w:fldChar w:fldCharType="end"/>
            </w:r>
          </w:hyperlink>
        </w:p>
        <w:p w14:paraId="59B85419" w14:textId="2A6A5032" w:rsidR="006F2DB3" w:rsidRDefault="00C57600">
          <w:pPr>
            <w:pStyle w:val="20"/>
            <w:tabs>
              <w:tab w:val="right" w:leader="dot" w:pos="8494"/>
            </w:tabs>
            <w:rPr>
              <w:rFonts w:asciiTheme="minorHAnsi" w:hAnsiTheme="minorHAnsi" w:cstheme="minorBidi"/>
              <w:noProof/>
              <w:kern w:val="2"/>
              <w:sz w:val="21"/>
              <w:szCs w:val="22"/>
              <w:lang w:val="en-US"/>
            </w:rPr>
          </w:pPr>
          <w:hyperlink w:anchor="_Toc12865377" w:history="1">
            <w:r w:rsidR="006F2DB3" w:rsidRPr="00272ED7">
              <w:rPr>
                <w:rStyle w:val="a7"/>
                <w:noProof/>
              </w:rPr>
              <w:t>22.6.　参加予定医療機関</w:t>
            </w:r>
            <w:r w:rsidR="006F2DB3">
              <w:rPr>
                <w:noProof/>
                <w:webHidden/>
              </w:rPr>
              <w:tab/>
            </w:r>
            <w:r w:rsidR="006F2DB3">
              <w:rPr>
                <w:noProof/>
                <w:webHidden/>
              </w:rPr>
              <w:fldChar w:fldCharType="begin"/>
            </w:r>
            <w:r w:rsidR="006F2DB3">
              <w:rPr>
                <w:noProof/>
                <w:webHidden/>
              </w:rPr>
              <w:instrText xml:space="preserve"> PAGEREF _Toc12865377 \h </w:instrText>
            </w:r>
            <w:r w:rsidR="006F2DB3">
              <w:rPr>
                <w:noProof/>
                <w:webHidden/>
              </w:rPr>
            </w:r>
            <w:r w:rsidR="006F2DB3">
              <w:rPr>
                <w:noProof/>
                <w:webHidden/>
              </w:rPr>
              <w:fldChar w:fldCharType="separate"/>
            </w:r>
            <w:r w:rsidR="006F2DB3">
              <w:rPr>
                <w:noProof/>
                <w:webHidden/>
              </w:rPr>
              <w:t>30</w:t>
            </w:r>
            <w:r w:rsidR="006F2DB3">
              <w:rPr>
                <w:noProof/>
                <w:webHidden/>
              </w:rPr>
              <w:fldChar w:fldCharType="end"/>
            </w:r>
          </w:hyperlink>
        </w:p>
        <w:p w14:paraId="0F7F27B7" w14:textId="011F24A8" w:rsidR="006F2DB3" w:rsidRDefault="00C57600">
          <w:pPr>
            <w:pStyle w:val="11"/>
            <w:tabs>
              <w:tab w:val="right" w:leader="dot" w:pos="8494"/>
            </w:tabs>
            <w:rPr>
              <w:rFonts w:asciiTheme="minorHAnsi" w:hAnsiTheme="minorHAnsi" w:cstheme="minorBidi"/>
              <w:noProof/>
              <w:kern w:val="2"/>
              <w:sz w:val="21"/>
              <w:szCs w:val="22"/>
              <w:lang w:val="en-US"/>
            </w:rPr>
          </w:pPr>
          <w:hyperlink w:anchor="_Toc12865378" w:history="1">
            <w:r w:rsidR="006F2DB3" w:rsidRPr="00272ED7">
              <w:rPr>
                <w:rStyle w:val="a7"/>
                <w:noProof/>
                <w:lang w:val="en-US"/>
              </w:rPr>
              <w:t>23．</w:t>
            </w:r>
            <w:r w:rsidR="006F2DB3" w:rsidRPr="00272ED7">
              <w:rPr>
                <w:rStyle w:val="a7"/>
                <w:noProof/>
              </w:rPr>
              <w:t>参考文献</w:t>
            </w:r>
            <w:r w:rsidR="006F2DB3">
              <w:rPr>
                <w:noProof/>
                <w:webHidden/>
              </w:rPr>
              <w:tab/>
            </w:r>
            <w:r w:rsidR="006F2DB3">
              <w:rPr>
                <w:noProof/>
                <w:webHidden/>
              </w:rPr>
              <w:fldChar w:fldCharType="begin"/>
            </w:r>
            <w:r w:rsidR="006F2DB3">
              <w:rPr>
                <w:noProof/>
                <w:webHidden/>
              </w:rPr>
              <w:instrText xml:space="preserve"> PAGEREF _Toc12865378 \h </w:instrText>
            </w:r>
            <w:r w:rsidR="006F2DB3">
              <w:rPr>
                <w:noProof/>
                <w:webHidden/>
              </w:rPr>
            </w:r>
            <w:r w:rsidR="006F2DB3">
              <w:rPr>
                <w:noProof/>
                <w:webHidden/>
              </w:rPr>
              <w:fldChar w:fldCharType="separate"/>
            </w:r>
            <w:r w:rsidR="006F2DB3">
              <w:rPr>
                <w:noProof/>
                <w:webHidden/>
              </w:rPr>
              <w:t>31</w:t>
            </w:r>
            <w:r w:rsidR="006F2DB3">
              <w:rPr>
                <w:noProof/>
                <w:webHidden/>
              </w:rPr>
              <w:fldChar w:fldCharType="end"/>
            </w:r>
          </w:hyperlink>
        </w:p>
        <w:p w14:paraId="2973B627" w14:textId="23EAB48A" w:rsidR="00DE2C98" w:rsidRDefault="00DE2C98">
          <w:r>
            <w:rPr>
              <w:b/>
              <w:bCs/>
              <w:lang w:val="ja-JP"/>
            </w:rPr>
            <w:fldChar w:fldCharType="end"/>
          </w:r>
        </w:p>
      </w:sdtContent>
    </w:sdt>
    <w:p w14:paraId="7F8B974D" w14:textId="77777777" w:rsidR="007D172E" w:rsidRDefault="00424D15">
      <w:pPr>
        <w:widowControl/>
        <w:jc w:val="left"/>
        <w:sectPr w:rsidR="007D172E">
          <w:type w:val="continuous"/>
          <w:pgSz w:w="11906" w:h="16838"/>
          <w:pgMar w:top="1985" w:right="1701" w:bottom="1701" w:left="1701" w:header="851" w:footer="992" w:gutter="0"/>
          <w:cols w:space="720"/>
        </w:sectPr>
      </w:pPr>
      <w:r>
        <w:br w:type="page"/>
      </w:r>
    </w:p>
    <w:p w14:paraId="571FCB10" w14:textId="58C458B2" w:rsidR="002A69E3" w:rsidRDefault="002A69E3">
      <w:pPr>
        <w:widowControl/>
        <w:jc w:val="left"/>
      </w:pPr>
    </w:p>
    <w:p w14:paraId="79BDF6EE" w14:textId="77777777" w:rsidR="002A69E3" w:rsidRDefault="00424D15">
      <w:pPr>
        <w:pStyle w:val="1"/>
        <w:rPr>
          <w:rFonts w:ascii="ＭＳ Ｐ明朝" w:eastAsia="ＭＳ Ｐ明朝" w:hAnsi="ＭＳ Ｐ明朝" w:cs="ＭＳ Ｐ明朝"/>
        </w:rPr>
      </w:pPr>
      <w:bookmarkStart w:id="6" w:name="_Toc12865300"/>
      <w:r>
        <w:rPr>
          <w:rFonts w:ascii="ＭＳ Ｐ明朝" w:eastAsia="ＭＳ Ｐ明朝" w:hAnsi="ＭＳ Ｐ明朝" w:cs="ＭＳ Ｐ明朝"/>
        </w:rPr>
        <w:t>0. 概要</w:t>
      </w:r>
      <w:bookmarkEnd w:id="6"/>
    </w:p>
    <w:p w14:paraId="07B70BAA" w14:textId="77777777" w:rsidR="002A69E3" w:rsidRDefault="00424D15">
      <w:r>
        <w:rPr>
          <w:b/>
        </w:rPr>
        <w:t xml:space="preserve">0.1 研究デザイン　</w:t>
      </w:r>
    </w:p>
    <w:p w14:paraId="14472E56" w14:textId="77777777" w:rsidR="002A69E3" w:rsidRDefault="00424D15">
      <w:pPr>
        <w:ind w:firstLine="240"/>
      </w:pPr>
      <w:r>
        <w:t>多施設共同前向き観察研究</w:t>
      </w:r>
    </w:p>
    <w:p w14:paraId="09C947DA" w14:textId="77777777" w:rsidR="002A69E3" w:rsidRDefault="002A69E3"/>
    <w:p w14:paraId="09D628ED" w14:textId="682DE1DA" w:rsidR="002A69E3" w:rsidRDefault="00424D15">
      <w:pPr>
        <w:rPr>
          <w:b/>
          <w:u w:val="single"/>
        </w:rPr>
      </w:pPr>
      <w:r>
        <w:rPr>
          <w:b/>
          <w:u w:val="single"/>
        </w:rPr>
        <w:t>0．1.1．シェーマ</w:t>
      </w:r>
    </w:p>
    <w:p w14:paraId="77ECBE72" w14:textId="6801E583" w:rsidR="002A69E3" w:rsidRDefault="00934CE9">
      <w:r>
        <w:rPr>
          <w:rFonts w:ascii="HG丸ｺﾞｼｯｸM-PRO" w:eastAsia="HG丸ｺﾞｼｯｸM-PRO"/>
          <w:noProof/>
          <w:shd w:val="pct15" w:color="auto" w:fill="FFFFFF"/>
          <w:lang w:val="en-US"/>
        </w:rPr>
        <w:drawing>
          <wp:anchor distT="0" distB="0" distL="114300" distR="114300" simplePos="0" relativeHeight="251662336" behindDoc="0" locked="0" layoutInCell="1" allowOverlap="1" wp14:anchorId="10921851" wp14:editId="4FBB9233">
            <wp:simplePos x="0" y="0"/>
            <wp:positionH relativeFrom="margin">
              <wp:posOffset>0</wp:posOffset>
            </wp:positionH>
            <wp:positionV relativeFrom="paragraph">
              <wp:posOffset>227965</wp:posOffset>
            </wp:positionV>
            <wp:extent cx="5676900" cy="3293745"/>
            <wp:effectExtent l="0" t="0" r="0" b="190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3293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31E03" w14:textId="4DE92B00" w:rsidR="002A69E3" w:rsidRDefault="00424D15">
      <w:r>
        <w:rPr>
          <w:b/>
        </w:rPr>
        <w:t>0.2 研究目的</w:t>
      </w:r>
    </w:p>
    <w:p w14:paraId="1FB34A02" w14:textId="3BF5A71B" w:rsidR="002A69E3" w:rsidRDefault="00424D15">
      <w:pPr>
        <w:ind w:firstLine="240"/>
      </w:pPr>
      <w:r>
        <w:t>本邦における慢性骨髄性白血病(</w:t>
      </w:r>
      <w:r w:rsidR="00DB6CDD" w:rsidRPr="00DB6CDD">
        <w:t xml:space="preserve">chronic myeloid leukemia; </w:t>
      </w:r>
      <w:r>
        <w:t>CML)の患者でチロシンキナーゼ阻害剤 (tyrosine kinase inhibitor; TKI) を中止した全ての症例を対象とした前向き観察研究を行い、無治療寛解  (treatment-free remission; TFR) の長期成績を把握する。また、初診時の</w:t>
      </w:r>
      <w:r w:rsidR="009B2CBD">
        <w:rPr>
          <w:rFonts w:hint="eastAsia"/>
        </w:rPr>
        <w:t>患者背景</w:t>
      </w:r>
      <w:r>
        <w:t>やTKI中止前の治療内容が長期成績に及ぼす影響を評価する。</w:t>
      </w:r>
    </w:p>
    <w:p w14:paraId="3C2AFE4D" w14:textId="77777777" w:rsidR="002A69E3" w:rsidRDefault="002A69E3"/>
    <w:p w14:paraId="586AA610" w14:textId="77777777" w:rsidR="002A69E3" w:rsidRDefault="00424D15">
      <w:pPr>
        <w:rPr>
          <w:b/>
        </w:rPr>
      </w:pPr>
      <w:r>
        <w:rPr>
          <w:b/>
        </w:rPr>
        <w:t>0.3 対象</w:t>
      </w:r>
    </w:p>
    <w:p w14:paraId="0E71A8B4" w14:textId="77777777" w:rsidR="002A69E3" w:rsidRDefault="00424D15">
      <w:pPr>
        <w:ind w:firstLine="240"/>
      </w:pPr>
      <w:r>
        <w:t>CML患者で以下の選択基準を全て満たし、除外基準のいずれにも該当しない患者を登録適格例とする。</w:t>
      </w:r>
    </w:p>
    <w:p w14:paraId="3961C2A7" w14:textId="77777777" w:rsidR="002A69E3" w:rsidRDefault="002A69E3"/>
    <w:p w14:paraId="76756285" w14:textId="77777777" w:rsidR="002A69E3" w:rsidRDefault="00424D15">
      <w:pPr>
        <w:ind w:left="440"/>
      </w:pPr>
      <w:r>
        <w:rPr>
          <w:b/>
          <w:u w:val="single"/>
        </w:rPr>
        <w:t>0.3.1登録適格基準</w:t>
      </w:r>
      <w:r>
        <w:t xml:space="preserve">　</w:t>
      </w:r>
    </w:p>
    <w:p w14:paraId="10519110" w14:textId="77777777" w:rsidR="002A69E3" w:rsidRPr="005B56A4" w:rsidRDefault="00424D15">
      <w:pPr>
        <w:ind w:left="440"/>
        <w:rPr>
          <w:lang w:val="en-US"/>
        </w:rPr>
      </w:pPr>
      <w:r w:rsidRPr="005B56A4">
        <w:rPr>
          <w:lang w:val="en-US"/>
        </w:rPr>
        <w:t xml:space="preserve">1) </w:t>
      </w:r>
      <w:r w:rsidRPr="005B56A4">
        <w:rPr>
          <w:i/>
          <w:lang w:val="en-US"/>
        </w:rPr>
        <w:t>major BCR-ABL</w:t>
      </w:r>
      <w:r>
        <w:t>陽性</w:t>
      </w:r>
      <w:r w:rsidRPr="005B56A4">
        <w:rPr>
          <w:lang w:val="en-US"/>
        </w:rPr>
        <w:t>CML</w:t>
      </w:r>
      <w:r>
        <w:t>症例</w:t>
      </w:r>
    </w:p>
    <w:p w14:paraId="2436D952" w14:textId="77777777" w:rsidR="002A69E3" w:rsidRDefault="00424D15">
      <w:pPr>
        <w:ind w:left="680" w:hanging="240"/>
      </w:pPr>
      <w:r>
        <w:t>2) TFRの成功・失敗に関わらず</w:t>
      </w:r>
      <w:r w:rsidRPr="00FB176D">
        <w:t>、</w:t>
      </w:r>
      <w:r>
        <w:t>何らかの理由でTKI治療を中止した患者、臨床試験でTKIを中止したことのある患者、またはこれから何らかの理由</w:t>
      </w:r>
      <w:r>
        <w:lastRenderedPageBreak/>
        <w:t>でTKI治療を中止する予定の患者。</w:t>
      </w:r>
    </w:p>
    <w:p w14:paraId="673BF5B4" w14:textId="40B2AF2C" w:rsidR="002A69E3" w:rsidRDefault="00424D15">
      <w:pPr>
        <w:ind w:left="440"/>
      </w:pPr>
      <w:r>
        <w:t xml:space="preserve">3) </w:t>
      </w:r>
      <w:r w:rsidR="00EA3D75">
        <w:rPr>
          <w:rFonts w:hint="eastAsia"/>
        </w:rPr>
        <w:t>過去の</w:t>
      </w:r>
      <w:r w:rsidR="00EA3D75">
        <w:rPr>
          <w:lang w:val="en-US"/>
        </w:rPr>
        <w:t>TFR</w:t>
      </w:r>
      <w:r w:rsidR="00EA3D75">
        <w:rPr>
          <w:rFonts w:hint="eastAsia"/>
        </w:rPr>
        <w:t>試験の適格基準および造血器腫瘍診療ガイドラインの</w:t>
      </w:r>
      <w:r w:rsidR="00EA3D75">
        <w:rPr>
          <w:lang w:val="en-US"/>
        </w:rPr>
        <w:t>TFR</w:t>
      </w:r>
      <w:r w:rsidR="00EA3D75">
        <w:rPr>
          <w:rFonts w:hint="eastAsia"/>
          <w:lang w:val="en-US"/>
        </w:rPr>
        <w:t>適格基準、本研究の目的などを十分説明した上で</w:t>
      </w:r>
      <w:r>
        <w:t>文書による本人（未成年者の場合は本人および代諾者）の</w:t>
      </w:r>
      <w:r w:rsidR="00EA3D75">
        <w:rPr>
          <w:rFonts w:hint="eastAsia"/>
        </w:rPr>
        <w:t>参加の</w:t>
      </w:r>
      <w:r>
        <w:t>同意が得られた患者</w:t>
      </w:r>
    </w:p>
    <w:p w14:paraId="024DEF35" w14:textId="77777777" w:rsidR="002A69E3" w:rsidRDefault="002A69E3"/>
    <w:p w14:paraId="02DE7E8D" w14:textId="77777777" w:rsidR="002A69E3" w:rsidRDefault="00424D15">
      <w:pPr>
        <w:rPr>
          <w:b/>
          <w:u w:val="single"/>
        </w:rPr>
      </w:pPr>
      <w:r>
        <w:rPr>
          <w:b/>
          <w:u w:val="single"/>
        </w:rPr>
        <w:t>0.3.2登録除外基準</w:t>
      </w:r>
    </w:p>
    <w:p w14:paraId="2CA9A6D7" w14:textId="77777777" w:rsidR="002A69E3" w:rsidRDefault="00424D15">
      <w:pPr>
        <w:ind w:left="440"/>
      </w:pPr>
      <w:r>
        <w:t>1) TKI中止前後またはTKI再投与後の臨床情報や検査結果を提供できない患者</w:t>
      </w:r>
    </w:p>
    <w:p w14:paraId="037258C0" w14:textId="77777777" w:rsidR="002A69E3" w:rsidRDefault="00424D15">
      <w:pPr>
        <w:ind w:left="440"/>
      </w:pPr>
      <w:r>
        <w:t>2) その他、試験への参加が困難と担当医師が判断した患者</w:t>
      </w:r>
    </w:p>
    <w:p w14:paraId="54C376FF" w14:textId="77777777" w:rsidR="002A69E3" w:rsidRDefault="002A69E3"/>
    <w:p w14:paraId="69B8E5C8" w14:textId="77777777" w:rsidR="002A69E3" w:rsidRDefault="00424D15">
      <w:pPr>
        <w:rPr>
          <w:b/>
        </w:rPr>
      </w:pPr>
      <w:bookmarkStart w:id="7" w:name="_1fob9te" w:colFirst="0" w:colLast="0"/>
      <w:bookmarkEnd w:id="7"/>
      <w:r>
        <w:rPr>
          <w:b/>
        </w:rPr>
        <w:t xml:space="preserve">0.4．目標症例数と研究期間 </w:t>
      </w:r>
    </w:p>
    <w:p w14:paraId="75541EFE" w14:textId="77777777" w:rsidR="002A69E3" w:rsidRDefault="00424D15">
      <w:pPr>
        <w:ind w:left="440"/>
      </w:pPr>
      <w:r>
        <w:t>1) 予定登録症例数：1200例（新規TKI中止患者600例＋過去のTKI中止患者600例）</w:t>
      </w:r>
    </w:p>
    <w:p w14:paraId="3735E159" w14:textId="5FDC8146" w:rsidR="002A69E3" w:rsidRDefault="00424D15">
      <w:pPr>
        <w:ind w:left="440"/>
      </w:pPr>
      <w:r>
        <w:t>2) 予定登録期間：</w:t>
      </w:r>
      <w:r w:rsidR="00C36109" w:rsidRPr="00C36109">
        <w:rPr>
          <w:rFonts w:hint="eastAsia"/>
        </w:rPr>
        <w:t>倫理審査委員会承認日</w:t>
      </w:r>
      <w:r>
        <w:t>から2024年</w:t>
      </w:r>
      <w:r w:rsidR="009B2CBD">
        <w:rPr>
          <w:lang w:val="en-US"/>
        </w:rPr>
        <w:t>3</w:t>
      </w:r>
      <w:r w:rsidR="009B2CBD">
        <w:t>月31日</w:t>
      </w:r>
      <w:r>
        <w:t>（5年間）</w:t>
      </w:r>
    </w:p>
    <w:p w14:paraId="2912DC8A" w14:textId="46B4B2C1" w:rsidR="002A69E3" w:rsidRPr="00FB176D" w:rsidRDefault="00424D15">
      <w:pPr>
        <w:ind w:left="440"/>
      </w:pPr>
      <w:r>
        <w:t>3) 研究期間：</w:t>
      </w:r>
      <w:r w:rsidR="00C36109" w:rsidRPr="00C36109">
        <w:rPr>
          <w:rFonts w:hint="eastAsia"/>
        </w:rPr>
        <w:t>倫理審査委員会承認日</w:t>
      </w:r>
      <w:r w:rsidRPr="00FB176D">
        <w:t>から2029年9月30日 (10年間)</w:t>
      </w:r>
    </w:p>
    <w:p w14:paraId="53A35F5E" w14:textId="77777777" w:rsidR="002A69E3" w:rsidRDefault="002A69E3"/>
    <w:p w14:paraId="3D8E6CB2" w14:textId="77777777" w:rsidR="002A69E3" w:rsidRPr="00871597" w:rsidRDefault="00424D15">
      <w:pPr>
        <w:rPr>
          <w:b/>
          <w:lang w:val="en-US"/>
        </w:rPr>
      </w:pPr>
      <w:r w:rsidRPr="00871597">
        <w:rPr>
          <w:b/>
          <w:lang w:val="en-US"/>
        </w:rPr>
        <w:t>0.5．</w:t>
      </w:r>
      <w:r>
        <w:rPr>
          <w:b/>
        </w:rPr>
        <w:t>評価項目</w:t>
      </w:r>
    </w:p>
    <w:p w14:paraId="1BECB073" w14:textId="77777777" w:rsidR="002A69E3" w:rsidRPr="00871597" w:rsidRDefault="00424D15">
      <w:pPr>
        <w:ind w:left="220"/>
        <w:rPr>
          <w:b/>
          <w:lang w:val="en-US"/>
        </w:rPr>
      </w:pPr>
      <w:r w:rsidRPr="00871597">
        <w:rPr>
          <w:b/>
          <w:lang w:val="en-US"/>
        </w:rPr>
        <w:t>1)</w:t>
      </w:r>
      <w:r>
        <w:rPr>
          <w:b/>
        </w:rPr>
        <w:t xml:space="preserve">　主要評価項目</w:t>
      </w:r>
      <w:r w:rsidRPr="00871597">
        <w:rPr>
          <w:b/>
          <w:lang w:val="en-US"/>
        </w:rPr>
        <w:t>（Primary endpoint）</w:t>
      </w:r>
    </w:p>
    <w:p w14:paraId="6239DFB3" w14:textId="77777777" w:rsidR="002A69E3" w:rsidRDefault="00424D15">
      <w:pPr>
        <w:ind w:left="440"/>
      </w:pPr>
      <w:r>
        <w:t>・TKI中止後5年時点でのTFR率</w:t>
      </w:r>
    </w:p>
    <w:p w14:paraId="6147D182" w14:textId="77777777" w:rsidR="002A69E3" w:rsidRDefault="002A69E3"/>
    <w:p w14:paraId="1B3D4F41" w14:textId="77777777" w:rsidR="002A69E3" w:rsidRPr="00871597" w:rsidRDefault="00424D15">
      <w:pPr>
        <w:ind w:left="220"/>
        <w:rPr>
          <w:b/>
          <w:lang w:val="en-US"/>
        </w:rPr>
      </w:pPr>
      <w:r w:rsidRPr="00871597">
        <w:rPr>
          <w:b/>
          <w:lang w:val="en-US"/>
        </w:rPr>
        <w:t>2)</w:t>
      </w:r>
      <w:r>
        <w:rPr>
          <w:b/>
        </w:rPr>
        <w:t xml:space="preserve">　副次的評価項目</w:t>
      </w:r>
      <w:r w:rsidRPr="00871597">
        <w:rPr>
          <w:b/>
          <w:lang w:val="en-US"/>
        </w:rPr>
        <w:t>（Secondary endpoint）</w:t>
      </w:r>
    </w:p>
    <w:p w14:paraId="1A164117" w14:textId="77777777" w:rsidR="002A69E3" w:rsidRDefault="00424D15">
      <w:pPr>
        <w:ind w:left="440"/>
      </w:pPr>
      <w:r>
        <w:t>・TKI中止後10年時点でのTFR率</w:t>
      </w:r>
    </w:p>
    <w:p w14:paraId="62CBC5FA" w14:textId="2368D9C2" w:rsidR="002A69E3" w:rsidRDefault="00424D15">
      <w:pPr>
        <w:ind w:left="440"/>
      </w:pPr>
      <w:r>
        <w:t>・TKI中止後のTreatment Free Survival</w:t>
      </w:r>
      <w:r w:rsidR="00DB6CDD">
        <w:rPr>
          <w:rFonts w:hint="eastAsia"/>
        </w:rPr>
        <w:t xml:space="preserve"> (TFS)</w:t>
      </w:r>
      <w:r w:rsidR="00FB176D">
        <w:t>、</w:t>
      </w:r>
      <w:r>
        <w:t xml:space="preserve"> Progression Free Survival</w:t>
      </w:r>
      <w:r w:rsidR="00DB6CDD">
        <w:rPr>
          <w:rFonts w:hint="eastAsia"/>
        </w:rPr>
        <w:t xml:space="preserve"> (PFS)</w:t>
      </w:r>
    </w:p>
    <w:p w14:paraId="3E76F19F" w14:textId="77777777" w:rsidR="002A69E3" w:rsidRDefault="00424D15">
      <w:pPr>
        <w:ind w:left="680" w:hanging="240"/>
      </w:pPr>
      <w:r>
        <w:t>・TFR喪失患者に対するTKI再投与後の累積major molecular response (MMR)再獲得率</w:t>
      </w:r>
    </w:p>
    <w:p w14:paraId="74202684" w14:textId="77777777" w:rsidR="002A69E3" w:rsidRDefault="002A69E3">
      <w:pPr>
        <w:ind w:left="220"/>
      </w:pPr>
    </w:p>
    <w:p w14:paraId="10729A48" w14:textId="77777777" w:rsidR="002A69E3" w:rsidRPr="004513D0" w:rsidRDefault="00424D15">
      <w:pPr>
        <w:ind w:left="220"/>
        <w:rPr>
          <w:b/>
          <w:lang w:val="en-US"/>
        </w:rPr>
      </w:pPr>
      <w:r w:rsidRPr="004513D0">
        <w:rPr>
          <w:b/>
          <w:lang w:val="en-US"/>
        </w:rPr>
        <w:t>3)</w:t>
      </w:r>
      <w:r w:rsidRPr="004513D0">
        <w:rPr>
          <w:b/>
        </w:rPr>
        <w:t xml:space="preserve">　探索的評価項目</w:t>
      </w:r>
      <w:r w:rsidRPr="004513D0">
        <w:rPr>
          <w:b/>
          <w:lang w:val="en-US"/>
        </w:rPr>
        <w:t>（Exploratory endpoint）</w:t>
      </w:r>
    </w:p>
    <w:p w14:paraId="1795673E" w14:textId="77777777" w:rsidR="002A69E3" w:rsidRPr="004513D0" w:rsidRDefault="00424D15">
      <w:pPr>
        <w:ind w:left="440"/>
      </w:pPr>
      <w:r w:rsidRPr="004513D0">
        <w:t>・初診時のリスク分類（Sokal score</w:t>
      </w:r>
      <w:r w:rsidR="00FB176D" w:rsidRPr="004513D0">
        <w:rPr>
          <w:rFonts w:hint="eastAsia"/>
        </w:rPr>
        <w:t>、</w:t>
      </w:r>
      <w:r w:rsidRPr="004513D0">
        <w:t>ELTS score</w:t>
      </w:r>
      <w:r w:rsidR="00FB176D" w:rsidRPr="004513D0">
        <w:t>、</w:t>
      </w:r>
      <w:r w:rsidRPr="004513D0">
        <w:t xml:space="preserve"> Hasford score）別サブ解析</w:t>
      </w:r>
    </w:p>
    <w:p w14:paraId="59A67A02" w14:textId="606B5805" w:rsidR="002A69E3" w:rsidRPr="004513D0" w:rsidRDefault="00424D15">
      <w:pPr>
        <w:ind w:left="680" w:hanging="240"/>
      </w:pPr>
      <w:r w:rsidRPr="004513D0">
        <w:t>・前治療（</w:t>
      </w:r>
      <w:r w:rsidR="00DB6CDD" w:rsidRPr="004513D0">
        <w:rPr>
          <w:rFonts w:hint="eastAsia"/>
        </w:rPr>
        <w:t>インターフェロン</w:t>
      </w:r>
      <w:r w:rsidR="00DB6CDD" w:rsidRPr="004513D0">
        <w:rPr>
          <w:lang w:val="en-US"/>
        </w:rPr>
        <w:t>(</w:t>
      </w:r>
      <w:r w:rsidRPr="004513D0">
        <w:t>IFN</w:t>
      </w:r>
      <w:r w:rsidR="00DB6CDD" w:rsidRPr="004513D0">
        <w:rPr>
          <w:rFonts w:hint="eastAsia"/>
        </w:rPr>
        <w:t>)</w:t>
      </w:r>
      <w:r w:rsidRPr="004513D0">
        <w:t>の使用の有無）、薬剤（IFNまたはTKI</w:t>
      </w:r>
      <w:r w:rsidR="00FB176D" w:rsidRPr="004513D0">
        <w:t>）投与期間別サブ解析</w:t>
      </w:r>
    </w:p>
    <w:p w14:paraId="62A37950" w14:textId="77777777" w:rsidR="002A69E3" w:rsidRPr="004513D0" w:rsidRDefault="00424D15">
      <w:pPr>
        <w:ind w:left="680" w:hanging="240"/>
      </w:pPr>
      <w:r w:rsidRPr="004513D0">
        <w:t>・中止直前のTKI別サブ解析</w:t>
      </w:r>
    </w:p>
    <w:p w14:paraId="30216422" w14:textId="77777777" w:rsidR="00DB6CDD" w:rsidRPr="004513D0" w:rsidRDefault="00DB6CDD" w:rsidP="00DB6CDD">
      <w:pPr>
        <w:ind w:left="440"/>
      </w:pPr>
      <w:r w:rsidRPr="004513D0">
        <w:t>・MMR/deep molecular response （DMR）達成時期またはMMR/DMR持続期間別サブ解析</w:t>
      </w:r>
    </w:p>
    <w:p w14:paraId="102066A2" w14:textId="77777777" w:rsidR="002A69E3" w:rsidRPr="004513D0" w:rsidRDefault="00424D15">
      <w:pPr>
        <w:ind w:left="440"/>
      </w:pPr>
      <w:r w:rsidRPr="004513D0">
        <w:t>・その他、患者背景別サブ解析</w:t>
      </w:r>
    </w:p>
    <w:p w14:paraId="52C9AC4E" w14:textId="77777777" w:rsidR="002A69E3" w:rsidRPr="004513D0" w:rsidRDefault="002A69E3"/>
    <w:p w14:paraId="1DE41FF4" w14:textId="77777777" w:rsidR="002A69E3" w:rsidRPr="004513D0" w:rsidRDefault="00424D15">
      <w:pPr>
        <w:rPr>
          <w:b/>
        </w:rPr>
      </w:pPr>
      <w:r w:rsidRPr="004513D0">
        <w:rPr>
          <w:b/>
        </w:rPr>
        <w:t>0.6. 研究計画</w:t>
      </w:r>
    </w:p>
    <w:p w14:paraId="53AA9188" w14:textId="75E4C91E" w:rsidR="002A69E3" w:rsidRPr="004513D0" w:rsidRDefault="00424D15">
      <w:pPr>
        <w:ind w:left="220"/>
        <w:rPr>
          <w:b/>
          <w:u w:val="single"/>
        </w:rPr>
      </w:pPr>
      <w:r w:rsidRPr="004513D0">
        <w:rPr>
          <w:b/>
          <w:u w:val="single"/>
        </w:rPr>
        <w:t>0.6.1.</w:t>
      </w:r>
      <w:r w:rsidR="00E07C6E">
        <w:rPr>
          <w:b/>
          <w:u w:val="single"/>
        </w:rPr>
        <w:t xml:space="preserve">　観察</w:t>
      </w:r>
      <w:r w:rsidRPr="004513D0">
        <w:rPr>
          <w:b/>
          <w:u w:val="single"/>
        </w:rPr>
        <w:t>スケジュール</w:t>
      </w:r>
    </w:p>
    <w:p w14:paraId="519DE998" w14:textId="77777777" w:rsidR="002A69E3" w:rsidRPr="004513D0" w:rsidRDefault="00424D15">
      <w:pPr>
        <w:ind w:left="220" w:firstLine="240"/>
      </w:pPr>
      <w:r w:rsidRPr="004513D0">
        <w:t>本研究は前向き観察研究であり、治療介入は行わず、登録された患者に対してTKI中止前の臨床情報を収集し、登録後は規定されたスケジュールで観察と検査を行い治療成績や予後を調査する。再治療は担当医師の判断により各患者に実施される。</w:t>
      </w:r>
    </w:p>
    <w:p w14:paraId="3217483B" w14:textId="76E586DD" w:rsidR="002A69E3" w:rsidRPr="004513D0" w:rsidRDefault="00424D15">
      <w:pPr>
        <w:ind w:left="220" w:firstLine="240"/>
      </w:pPr>
      <w:r w:rsidRPr="004513D0">
        <w:t>新規にTKI</w:t>
      </w:r>
      <w:r w:rsidR="00E07C6E">
        <w:t>治療を中止する登録患者については、以下の観察</w:t>
      </w:r>
      <w:r w:rsidRPr="004513D0">
        <w:t>スケジュール（TFRおよびRe-TKIスケジュール）に基づいて前向きに評価を行う。また、過去にTKI治療を中止した登録患者についても同様のスケジュールに基づいて、後ろ向きおよび前向きに以下の情報を可能な限り取得する。</w:t>
      </w:r>
    </w:p>
    <w:p w14:paraId="423ADB5F" w14:textId="77777777" w:rsidR="002A69E3" w:rsidRPr="004513D0" w:rsidRDefault="002A69E3">
      <w:pPr>
        <w:ind w:left="220"/>
      </w:pPr>
    </w:p>
    <w:p w14:paraId="6C9EBA42" w14:textId="5AC03C1A" w:rsidR="00DA6B1F" w:rsidRPr="004513D0" w:rsidRDefault="00424D15">
      <w:pPr>
        <w:numPr>
          <w:ilvl w:val="0"/>
          <w:numId w:val="1"/>
        </w:numPr>
        <w:pBdr>
          <w:top w:val="nil"/>
          <w:left w:val="nil"/>
          <w:bottom w:val="nil"/>
          <w:right w:val="nil"/>
          <w:between w:val="nil"/>
        </w:pBdr>
        <w:spacing w:line="240" w:lineRule="auto"/>
        <w:ind w:left="800"/>
      </w:pPr>
      <w:r w:rsidRPr="004513D0">
        <w:rPr>
          <w:b/>
        </w:rPr>
        <w:t>CML発症時：</w:t>
      </w:r>
    </w:p>
    <w:p w14:paraId="515F67C6" w14:textId="7D7C31E9" w:rsidR="002A69E3" w:rsidRPr="004513D0" w:rsidRDefault="00424D15" w:rsidP="00D73386">
      <w:pPr>
        <w:pBdr>
          <w:top w:val="nil"/>
          <w:left w:val="nil"/>
          <w:bottom w:val="nil"/>
          <w:right w:val="nil"/>
          <w:between w:val="nil"/>
        </w:pBdr>
        <w:spacing w:line="240" w:lineRule="auto"/>
        <w:ind w:leftChars="100" w:left="240" w:firstLineChars="100" w:firstLine="240"/>
      </w:pPr>
      <w:r w:rsidRPr="004513D0">
        <w:t>CML診断日、</w:t>
      </w:r>
      <w:r w:rsidR="00DB6CDD" w:rsidRPr="004513D0">
        <w:rPr>
          <w:rFonts w:hint="eastAsia"/>
        </w:rPr>
        <w:t>診断時年齢</w:t>
      </w:r>
      <w:r w:rsidRPr="004513D0">
        <w:t>、性別、</w:t>
      </w:r>
      <w:r w:rsidR="00DB6CDD" w:rsidRPr="004513D0">
        <w:rPr>
          <w:rFonts w:hint="eastAsia"/>
        </w:rPr>
        <w:t>人種、</w:t>
      </w:r>
      <w:r w:rsidRPr="004513D0">
        <w:t>診断時の脾腫、髄外腫瘤の有無、血算・血液像、Sokal score</w:t>
      </w:r>
      <w:r w:rsidRPr="004513D0">
        <w:rPr>
          <w:vertAlign w:val="superscript"/>
        </w:rPr>
        <w:t>1</w:t>
      </w:r>
      <w:r w:rsidRPr="004513D0">
        <w:t>、ELTS</w:t>
      </w:r>
      <w:r w:rsidR="00DB6CDD" w:rsidRPr="004513D0">
        <w:rPr>
          <w:rFonts w:hint="eastAsia"/>
        </w:rPr>
        <w:t xml:space="preserve"> </w:t>
      </w:r>
      <w:r w:rsidRPr="004513D0">
        <w:t>score</w:t>
      </w:r>
      <w:r w:rsidRPr="004513D0">
        <w:rPr>
          <w:vertAlign w:val="superscript"/>
        </w:rPr>
        <w:t xml:space="preserve"> 2</w:t>
      </w:r>
      <w:r w:rsidRPr="004513D0">
        <w:t>、Hasford score</w:t>
      </w:r>
      <w:r w:rsidRPr="004513D0">
        <w:rPr>
          <w:vertAlign w:val="superscript"/>
        </w:rPr>
        <w:t>3</w:t>
      </w:r>
      <w:r w:rsidRPr="004513D0">
        <w:t>、病期、染色体（核型、クローン数）。</w:t>
      </w:r>
    </w:p>
    <w:p w14:paraId="541CEFA5" w14:textId="77777777" w:rsidR="002A69E3" w:rsidRPr="004513D0" w:rsidRDefault="002A69E3">
      <w:pPr>
        <w:pBdr>
          <w:top w:val="nil"/>
          <w:left w:val="nil"/>
          <w:bottom w:val="nil"/>
          <w:right w:val="nil"/>
          <w:between w:val="nil"/>
        </w:pBdr>
        <w:spacing w:line="240" w:lineRule="auto"/>
        <w:ind w:left="816" w:hanging="840"/>
      </w:pPr>
    </w:p>
    <w:p w14:paraId="7522692D" w14:textId="77777777" w:rsidR="002A69E3" w:rsidRPr="004513D0" w:rsidRDefault="00424D15">
      <w:pPr>
        <w:numPr>
          <w:ilvl w:val="0"/>
          <w:numId w:val="1"/>
        </w:numPr>
        <w:pBdr>
          <w:top w:val="nil"/>
          <w:left w:val="nil"/>
          <w:bottom w:val="nil"/>
          <w:right w:val="nil"/>
          <w:between w:val="nil"/>
        </w:pBdr>
        <w:spacing w:line="240" w:lineRule="auto"/>
        <w:ind w:left="800"/>
      </w:pPr>
      <w:r w:rsidRPr="004513D0">
        <w:rPr>
          <w:b/>
        </w:rPr>
        <w:t>TKI治療の中止時：</w:t>
      </w:r>
    </w:p>
    <w:p w14:paraId="39C69234" w14:textId="77777777" w:rsidR="00DB6CDD" w:rsidRPr="004513D0" w:rsidRDefault="00424D15">
      <w:pPr>
        <w:ind w:left="764"/>
      </w:pPr>
      <w:r w:rsidRPr="004513D0">
        <w:t>・</w:t>
      </w:r>
      <w:r w:rsidR="00DB6CDD" w:rsidRPr="004513D0">
        <w:rPr>
          <w:rFonts w:hint="eastAsia"/>
        </w:rPr>
        <w:t>中止時の身長、体重</w:t>
      </w:r>
    </w:p>
    <w:p w14:paraId="4429D431" w14:textId="2093A1AC" w:rsidR="002A69E3" w:rsidRPr="004513D0" w:rsidRDefault="00DB6CDD">
      <w:pPr>
        <w:ind w:left="764"/>
      </w:pPr>
      <w:r w:rsidRPr="004513D0">
        <w:rPr>
          <w:rFonts w:hint="eastAsia"/>
        </w:rPr>
        <w:t>・</w:t>
      </w:r>
      <w:r w:rsidR="00424D15" w:rsidRPr="004513D0">
        <w:t>初発時から登録時までの</w:t>
      </w:r>
      <w:r w:rsidRPr="004513D0">
        <w:rPr>
          <w:rFonts w:hint="eastAsia"/>
        </w:rPr>
        <w:t>IFN</w:t>
      </w:r>
      <w:r w:rsidR="00424D15" w:rsidRPr="004513D0">
        <w:t>治療の有無と期間</w:t>
      </w:r>
    </w:p>
    <w:p w14:paraId="13BE248F" w14:textId="77777777" w:rsidR="002A69E3" w:rsidRPr="004513D0" w:rsidRDefault="00424D15">
      <w:pPr>
        <w:ind w:left="764"/>
      </w:pPr>
      <w:r w:rsidRPr="004513D0">
        <w:t>・TKI治療開始日とTKIの種類</w:t>
      </w:r>
    </w:p>
    <w:p w14:paraId="008D43BE" w14:textId="77777777" w:rsidR="002A69E3" w:rsidRPr="004513D0" w:rsidRDefault="00424D15">
      <w:pPr>
        <w:ind w:left="764"/>
      </w:pPr>
      <w:r w:rsidRPr="004513D0">
        <w:t>・治療経過中TKIの変更あれば変更日・変更理由（抵抗性・不耐容・その他）とTKIの種類（複数あればすべて）</w:t>
      </w:r>
    </w:p>
    <w:p w14:paraId="466C6F91" w14:textId="2F52CF1B" w:rsidR="002A69E3" w:rsidRPr="004513D0" w:rsidRDefault="00424D15">
      <w:pPr>
        <w:ind w:left="1003" w:hanging="240"/>
      </w:pPr>
      <w:r w:rsidRPr="004513D0">
        <w:t>・TKI中止日と中止直前TKI、中止理由（臨床試験</w:t>
      </w:r>
      <w:r w:rsidR="00DB6CDD" w:rsidRPr="004513D0">
        <w:rPr>
          <w:rFonts w:hint="eastAsia"/>
        </w:rPr>
        <w:t>参加</w:t>
      </w:r>
      <w:r w:rsidRPr="004513D0">
        <w:t>、副作用、妊娠希望、</w:t>
      </w:r>
      <w:r w:rsidR="00DB6CDD" w:rsidRPr="004513D0">
        <w:rPr>
          <w:rFonts w:hint="eastAsia"/>
        </w:rPr>
        <w:t>妊娠、</w:t>
      </w:r>
      <w:r w:rsidRPr="004513D0">
        <w:t>経済的理由、他</w:t>
      </w:r>
      <w:r w:rsidR="00F225FF" w:rsidRPr="004513D0">
        <w:rPr>
          <w:lang w:val="en-US"/>
        </w:rPr>
        <w:t xml:space="preserve"> </w:t>
      </w:r>
      <w:r w:rsidR="00F225FF" w:rsidRPr="004513D0">
        <w:t>[</w:t>
      </w:r>
      <w:r w:rsidR="00F225FF" w:rsidRPr="004513D0">
        <w:rPr>
          <w:rFonts w:hint="eastAsia"/>
        </w:rPr>
        <w:t>複数選択可</w:t>
      </w:r>
      <w:r w:rsidR="00F225FF" w:rsidRPr="004513D0">
        <w:t>]</w:t>
      </w:r>
      <w:r w:rsidRPr="004513D0">
        <w:t>）</w:t>
      </w:r>
    </w:p>
    <w:p w14:paraId="4900F993" w14:textId="77777777" w:rsidR="002A69E3" w:rsidRPr="004513D0" w:rsidRDefault="00424D15">
      <w:pPr>
        <w:ind w:left="1003" w:hanging="240"/>
      </w:pPr>
      <w:r w:rsidRPr="004513D0">
        <w:t>・TKI 中止歴（複数回のTKI中止歴がある場合は以前のTKI中止歴を含めた情報をすべて収集する）</w:t>
      </w:r>
    </w:p>
    <w:p w14:paraId="457350EC" w14:textId="77777777" w:rsidR="002A69E3" w:rsidRPr="004513D0" w:rsidRDefault="00424D15">
      <w:pPr>
        <w:ind w:left="1003" w:hanging="240"/>
      </w:pPr>
      <w:r w:rsidRPr="004513D0">
        <w:t>・臨床試験登録がある場合には、臨床試験名を記載する。（DADI、JALSG-STIM213、STAT2、NILSt、JALSG-N-STOP、JALSG-D-STOP、D-STOP、JALSG-RE-STOP、DOMEST、1st-DADIなど）</w:t>
      </w:r>
    </w:p>
    <w:p w14:paraId="73F44360" w14:textId="77777777" w:rsidR="002A69E3" w:rsidRPr="004513D0" w:rsidRDefault="00424D15">
      <w:pPr>
        <w:ind w:left="764"/>
      </w:pPr>
      <w:r w:rsidRPr="004513D0">
        <w:t>・造血幹細胞移植の有無</w:t>
      </w:r>
    </w:p>
    <w:p w14:paraId="7CC9AB50" w14:textId="77777777" w:rsidR="002A69E3" w:rsidRPr="004513D0" w:rsidRDefault="00424D15">
      <w:pPr>
        <w:ind w:left="1003" w:hanging="240"/>
      </w:pPr>
      <w:r w:rsidRPr="004513D0">
        <w:t>・MMR達成日、MR4.0達成日、MR4.5達成日、MMR持続期間、MR4.0持続期間、MR4.5持続期間（MR4.5に関しては、大塚またはシスメックスのキットでの検査以外は、参考値とする）</w:t>
      </w:r>
    </w:p>
    <w:p w14:paraId="5FBE1C90" w14:textId="79BDC401" w:rsidR="002A69E3" w:rsidRPr="004513D0" w:rsidRDefault="00424D15">
      <w:pPr>
        <w:ind w:left="1003" w:hanging="240"/>
      </w:pPr>
      <w:r w:rsidRPr="004513D0">
        <w:t>・</w:t>
      </w:r>
      <w:r w:rsidR="00DB6CDD" w:rsidRPr="004513D0">
        <w:t>中止時の分子遺伝学的効果（International scale (IS)-PCRデータ：BCR-ABLコピー数、対照ABL遺伝子コピー数、IS</w:t>
      </w:r>
      <w:r w:rsidR="00722038" w:rsidRPr="004513D0">
        <w:t>％</w:t>
      </w:r>
      <w:r w:rsidR="00DB6CDD" w:rsidRPr="004513D0">
        <w:t>など）（AMP-CML 100コピー/μgRNA [50コピー/assay]をMMR相当、10コピー/μgRNA [5コ</w:t>
      </w:r>
      <w:r w:rsidR="00DB6CDD" w:rsidRPr="004513D0">
        <w:lastRenderedPageBreak/>
        <w:t>ピー/assay]未満をMR4.0相当と換算する）</w:t>
      </w:r>
    </w:p>
    <w:p w14:paraId="00CF79B4" w14:textId="77777777" w:rsidR="002A69E3" w:rsidRPr="004513D0" w:rsidRDefault="002A69E3">
      <w:pPr>
        <w:ind w:left="883" w:hanging="120"/>
      </w:pPr>
    </w:p>
    <w:p w14:paraId="327C93A2" w14:textId="77777777" w:rsidR="002A69E3" w:rsidRPr="004513D0" w:rsidRDefault="00424D15">
      <w:pPr>
        <w:ind w:left="839" w:hanging="110"/>
      </w:pPr>
      <w:r w:rsidRPr="004513D0">
        <w:rPr>
          <w:b/>
        </w:rPr>
        <w:t>3)　TKI治療の中止からTFR継続期間中：</w:t>
      </w:r>
    </w:p>
    <w:p w14:paraId="70386BE4" w14:textId="77777777" w:rsidR="005B56A4" w:rsidRPr="004513D0" w:rsidRDefault="005B56A4">
      <w:pPr>
        <w:pBdr>
          <w:top w:val="nil"/>
          <w:left w:val="nil"/>
          <w:bottom w:val="nil"/>
          <w:right w:val="nil"/>
          <w:between w:val="nil"/>
        </w:pBdr>
        <w:spacing w:line="240" w:lineRule="auto"/>
        <w:ind w:left="780" w:firstLine="240"/>
      </w:pPr>
      <w:r w:rsidRPr="004513D0">
        <w:t>・AP/BCへの移行の有無。移行日。</w:t>
      </w:r>
    </w:p>
    <w:p w14:paraId="3F8FFE74" w14:textId="77777777" w:rsidR="002A69E3" w:rsidRPr="004513D0" w:rsidRDefault="005B56A4">
      <w:pPr>
        <w:pBdr>
          <w:top w:val="nil"/>
          <w:left w:val="nil"/>
          <w:bottom w:val="nil"/>
          <w:right w:val="nil"/>
          <w:between w:val="nil"/>
        </w:pBdr>
        <w:spacing w:line="240" w:lineRule="auto"/>
        <w:ind w:left="780" w:firstLine="240"/>
      </w:pPr>
      <w:r w:rsidRPr="004513D0">
        <w:t>・</w:t>
      </w:r>
      <w:r w:rsidR="00424D15" w:rsidRPr="004513D0">
        <w:t>「スケジュールTFR」に基づくIS-PCRデータ。</w:t>
      </w:r>
    </w:p>
    <w:p w14:paraId="12218AAD" w14:textId="77777777" w:rsidR="002A69E3" w:rsidRPr="004513D0" w:rsidRDefault="00424D15">
      <w:pPr>
        <w:ind w:left="764"/>
        <w:rPr>
          <w:b/>
        </w:rPr>
      </w:pPr>
      <w:r w:rsidRPr="004513D0">
        <w:rPr>
          <w:b/>
        </w:rPr>
        <w:t>【TFRスケジュール】</w:t>
      </w:r>
    </w:p>
    <w:p w14:paraId="2BD1BCDB" w14:textId="77777777" w:rsidR="002A69E3" w:rsidRPr="004513D0" w:rsidRDefault="00424D15">
      <w:pPr>
        <w:ind w:left="764"/>
      </w:pPr>
      <w:r w:rsidRPr="004513D0">
        <w:t>TKI中止後1ヶ月（±15日）、2ヶ月（±15日）、3ヶ月（±15日）、4ヶ月（±15日）、5ヶ月（±15日）、6ヶ月（</w:t>
      </w:r>
      <w:r w:rsidRPr="004513D0">
        <w:t>−</w:t>
      </w:r>
      <w:r w:rsidRPr="004513D0">
        <w:t>15日/+31日）、8ヶ月（±31日）、10ヶ月（±31日）、</w:t>
      </w:r>
    </w:p>
    <w:p w14:paraId="2846E544" w14:textId="77777777" w:rsidR="002A69E3" w:rsidRPr="004513D0" w:rsidRDefault="00424D15">
      <w:pPr>
        <w:ind w:left="764"/>
      </w:pPr>
      <w:r w:rsidRPr="004513D0">
        <w:t>12ヶ月（</w:t>
      </w:r>
      <w:r w:rsidRPr="004513D0">
        <w:t>−</w:t>
      </w:r>
      <w:r w:rsidRPr="004513D0">
        <w:t>31日/+46日）、15ヶ月（±46日）、18ヶ月（±46日）、21ヶ月（±46日）、24ヶ月（±46日）、27ヶ月（±46日）、30ヶ月（±46日）、33ヶ月（±46日）、</w:t>
      </w:r>
    </w:p>
    <w:p w14:paraId="42D63506" w14:textId="77777777" w:rsidR="002A69E3" w:rsidRPr="004513D0" w:rsidRDefault="00424D15">
      <w:pPr>
        <w:ind w:left="764"/>
      </w:pPr>
      <w:r w:rsidRPr="004513D0">
        <w:t>36ヶ月（</w:t>
      </w:r>
      <w:r w:rsidRPr="004513D0">
        <w:t>−</w:t>
      </w:r>
      <w:r w:rsidRPr="004513D0">
        <w:t>46日/+92日）、42ヶ月（±92日）、48ヶ月（±92日）、54ヶ月（±92日）、60ヶ月（±92日）、66ヶ月（±92日）、72ヶ月（±92日）、78ヶ月（±92日）、</w:t>
      </w:r>
    </w:p>
    <w:p w14:paraId="2EBD006C" w14:textId="77777777" w:rsidR="002A69E3" w:rsidRPr="004513D0" w:rsidRDefault="00424D15">
      <w:pPr>
        <w:ind w:left="764"/>
      </w:pPr>
      <w:r w:rsidRPr="004513D0">
        <w:t>84ヶ月（±92日）、90ヶ月（±92日）、96ヶ月（±92日）、102ヶ月（±92日）、108ヶ月（±92日）、114ヶ月（±92日）、120ヶ月（±92日）</w:t>
      </w:r>
    </w:p>
    <w:p w14:paraId="5500F1B1" w14:textId="77777777" w:rsidR="00DB6CDD" w:rsidRPr="004513D0" w:rsidRDefault="00DB6CDD" w:rsidP="00DB6CDD">
      <w:pPr>
        <w:pBdr>
          <w:top w:val="nil"/>
          <w:left w:val="nil"/>
          <w:bottom w:val="nil"/>
          <w:right w:val="nil"/>
          <w:between w:val="nil"/>
        </w:pBdr>
        <w:spacing w:line="240" w:lineRule="auto"/>
        <w:ind w:leftChars="200" w:left="720" w:hangingChars="100" w:hanging="240"/>
        <w:rPr>
          <w:u w:val="single"/>
        </w:rPr>
      </w:pPr>
    </w:p>
    <w:p w14:paraId="7B82BBAC" w14:textId="77777777" w:rsidR="002A69E3" w:rsidRPr="004513D0" w:rsidRDefault="002A69E3">
      <w:pPr>
        <w:ind w:left="220"/>
      </w:pPr>
    </w:p>
    <w:p w14:paraId="6166A713" w14:textId="77777777" w:rsidR="002A69E3" w:rsidRPr="004513D0" w:rsidRDefault="00424D15">
      <w:pPr>
        <w:ind w:left="664"/>
      </w:pPr>
      <w:r w:rsidRPr="004513D0">
        <w:rPr>
          <w:b/>
        </w:rPr>
        <w:t>4)　TKI治療の再開後：</w:t>
      </w:r>
    </w:p>
    <w:p w14:paraId="3A246BD4" w14:textId="77777777" w:rsidR="002A69E3" w:rsidRPr="004513D0" w:rsidRDefault="00424D15">
      <w:pPr>
        <w:ind w:left="763" w:firstLine="240"/>
      </w:pPr>
      <w:r w:rsidRPr="004513D0">
        <w:t>以下の「Re-TKIスケジュール」に基づくIS-PCRデータ、TKI再開日と再開時のTKI</w:t>
      </w:r>
    </w:p>
    <w:p w14:paraId="22497B62" w14:textId="77777777" w:rsidR="002A69E3" w:rsidRPr="004513D0" w:rsidRDefault="00424D15">
      <w:pPr>
        <w:ind w:left="764"/>
        <w:rPr>
          <w:b/>
        </w:rPr>
      </w:pPr>
      <w:r w:rsidRPr="004513D0">
        <w:rPr>
          <w:b/>
        </w:rPr>
        <w:t>【Re-TKIスケジュール】</w:t>
      </w:r>
    </w:p>
    <w:p w14:paraId="780F307F" w14:textId="77777777" w:rsidR="002A69E3" w:rsidRPr="004513D0" w:rsidRDefault="00424D15">
      <w:pPr>
        <w:ind w:left="763" w:firstLine="240"/>
      </w:pPr>
      <w:r w:rsidRPr="004513D0">
        <w:t>MMR再達成時までTKI再開後1ヶ月（±15日）から毎月（±15日）</w:t>
      </w:r>
    </w:p>
    <w:p w14:paraId="79C4666E" w14:textId="77777777" w:rsidR="002A69E3" w:rsidRPr="004513D0" w:rsidRDefault="002A69E3">
      <w:pPr>
        <w:ind w:left="440"/>
      </w:pPr>
    </w:p>
    <w:p w14:paraId="64808CC8" w14:textId="77777777" w:rsidR="002A69E3" w:rsidRPr="004513D0" w:rsidRDefault="002A69E3">
      <w:pPr>
        <w:pBdr>
          <w:top w:val="nil"/>
          <w:left w:val="nil"/>
          <w:bottom w:val="nil"/>
          <w:right w:val="nil"/>
          <w:between w:val="nil"/>
        </w:pBdr>
        <w:spacing w:line="240" w:lineRule="auto"/>
        <w:ind w:left="780" w:hanging="840"/>
      </w:pPr>
    </w:p>
    <w:p w14:paraId="32A5C74C" w14:textId="37572941" w:rsidR="002A69E3" w:rsidRPr="004513D0" w:rsidRDefault="00424D15">
      <w:pPr>
        <w:ind w:left="220"/>
        <w:rPr>
          <w:b/>
        </w:rPr>
      </w:pPr>
      <w:r w:rsidRPr="004513D0">
        <w:rPr>
          <w:b/>
        </w:rPr>
        <w:t>0.7.統計的事項</w:t>
      </w:r>
    </w:p>
    <w:p w14:paraId="1CDB8501" w14:textId="77777777" w:rsidR="002A69E3" w:rsidRPr="004513D0" w:rsidRDefault="00424D15">
      <w:pPr>
        <w:ind w:left="220"/>
        <w:rPr>
          <w:b/>
          <w:u w:val="single"/>
        </w:rPr>
      </w:pPr>
      <w:bookmarkStart w:id="8" w:name="_3znysh7" w:colFirst="0" w:colLast="0"/>
      <w:bookmarkEnd w:id="8"/>
      <w:r w:rsidRPr="004513D0">
        <w:rPr>
          <w:b/>
          <w:u w:val="single"/>
        </w:rPr>
        <w:t xml:space="preserve">0.7.1.解析方法 </w:t>
      </w:r>
    </w:p>
    <w:p w14:paraId="72A3A1EB" w14:textId="77777777" w:rsidR="00F15087" w:rsidRPr="004513D0" w:rsidRDefault="00F15087" w:rsidP="00F12244">
      <w:pPr>
        <w:ind w:leftChars="100" w:left="240" w:firstLine="240"/>
      </w:pPr>
      <w:r w:rsidRPr="004513D0">
        <w:t>本研究の主要評価項目解析の目的は、TKI中止後5年時点のTFR維持率を評価することである。TKI中止後5年時点のTFR維持率は、TKI中止後5年の間にMMR以上の治療効果を維持し、かつTKIを再開していない患者数を、TKIを中止した患者の集団で除した値として定義する。解析対象集団は本研究に登録した患者集団とし、60ヶ月時点での検査がされていない場合には、failureとして扱う。また、同意撤回例はfailureとして扱う。</w:t>
      </w:r>
    </w:p>
    <w:p w14:paraId="626E469C" w14:textId="162DFC3F" w:rsidR="002A69E3" w:rsidRPr="004513D0" w:rsidRDefault="00F15087">
      <w:pPr>
        <w:ind w:left="220"/>
      </w:pPr>
      <w:r w:rsidRPr="004513D0">
        <w:t>なお、本研究では、過去のTKI中止症例を含めすべてのTKI中止症例の情報を収集するため、2回目のTKI中止など複数回TKI中止症例についても対象となる。</w:t>
      </w:r>
      <w:r w:rsidRPr="004513D0">
        <w:lastRenderedPageBreak/>
        <w:t>過去のTKI中止は個別に登録されるが、症例番号を統一し（J-SKI 1038-2: 症例1038番の2回目のTKI中止case、J-SKI-0751-1: 症例0751番の1回目のTKI中止case）解析時、初回TKI中止のみの検討で主要評価項目のTKI休薬後5年時点のTFR維持率を評価する。また、複数回のTKI中止症例を含む全ての中止症例の解析と複数回TKI中止症例のみの解析も別途行う。</w:t>
      </w:r>
    </w:p>
    <w:p w14:paraId="3B97B5C6" w14:textId="77777777" w:rsidR="002A69E3" w:rsidRPr="004513D0" w:rsidRDefault="00424D15">
      <w:pPr>
        <w:ind w:left="220"/>
        <w:rPr>
          <w:b/>
        </w:rPr>
      </w:pPr>
      <w:r w:rsidRPr="004513D0">
        <w:rPr>
          <w:b/>
        </w:rPr>
        <w:t>0.7.2.目標症例数1200例の根拠</w:t>
      </w:r>
    </w:p>
    <w:p w14:paraId="67C41A60" w14:textId="10A52D09" w:rsidR="00F15087" w:rsidRPr="00A66D01" w:rsidRDefault="00F15087" w:rsidP="00F12244">
      <w:pPr>
        <w:ind w:leftChars="100" w:left="240" w:firstLineChars="100" w:firstLine="240"/>
      </w:pPr>
      <w:r w:rsidRPr="0018168D">
        <w:t>フランスにおけるTKI　Stop臨床試験（STIM1）の12ヶ月TFR</w:t>
      </w:r>
      <w:r w:rsidRPr="0018168D">
        <w:rPr>
          <w:rFonts w:hint="eastAsia"/>
        </w:rPr>
        <w:t>率</w:t>
      </w:r>
      <w:r w:rsidRPr="0018168D">
        <w:t>が41％ (95％ CI, 29-52％)であり、長期フォローアップの5年TFR</w:t>
      </w:r>
      <w:r w:rsidRPr="0018168D">
        <w:rPr>
          <w:rFonts w:hint="eastAsia"/>
        </w:rPr>
        <w:t>率</w:t>
      </w:r>
      <w:r w:rsidRPr="0018168D">
        <w:t>は38％ (95％CI, 29-47)であった</w:t>
      </w:r>
      <w:r w:rsidR="002351AD">
        <w:rPr>
          <w:rFonts w:hint="eastAsia"/>
          <w:vertAlign w:val="superscript"/>
        </w:rPr>
        <w:t>4</w:t>
      </w:r>
      <w:r w:rsidRPr="0018168D">
        <w:t>。一方758人がエントリーしている世界最大の前向きTKI中止試験EURO-SKIの24ヶ月TFR</w:t>
      </w:r>
      <w:r w:rsidRPr="0018168D">
        <w:rPr>
          <w:rFonts w:hint="eastAsia"/>
        </w:rPr>
        <w:t>率</w:t>
      </w:r>
      <w:r w:rsidRPr="0018168D">
        <w:t>は50％(95％CI 46-54)と報告されている</w:t>
      </w:r>
      <w:r w:rsidR="002351AD">
        <w:rPr>
          <w:rFonts w:hint="eastAsia"/>
          <w:vertAlign w:val="superscript"/>
        </w:rPr>
        <w:t>5</w:t>
      </w:r>
      <w:r w:rsidRPr="0018168D">
        <w:t>。本邦におけるこれまでの同様の臨床試験</w:t>
      </w:r>
      <w:r w:rsidR="002351AD">
        <w:rPr>
          <w:rFonts w:hint="eastAsia"/>
          <w:vertAlign w:val="superscript"/>
        </w:rPr>
        <w:t>6</w:t>
      </w:r>
      <w:r w:rsidR="002351AD" w:rsidRPr="0018168D">
        <w:rPr>
          <w:vertAlign w:val="superscript"/>
        </w:rPr>
        <w:t>-</w:t>
      </w:r>
      <w:r w:rsidR="002351AD">
        <w:rPr>
          <w:rFonts w:hint="eastAsia"/>
          <w:vertAlign w:val="superscript"/>
        </w:rPr>
        <w:t>9</w:t>
      </w:r>
      <w:r w:rsidRPr="0018168D">
        <w:t>のTFRが海外に比べ良好であることから期待奏効率を55％とする。</w:t>
      </w:r>
      <w:r w:rsidRPr="0018168D">
        <w:rPr>
          <w:rFonts w:hint="eastAsia"/>
        </w:rPr>
        <w:t>期待奏効率をClopper-Pearsonの95％信頼区間の幅が±3</w:t>
      </w:r>
      <w:r w:rsidRPr="0018168D">
        <w:t>％</w:t>
      </w:r>
      <w:r w:rsidRPr="0018168D">
        <w:rPr>
          <w:rFonts w:hint="eastAsia"/>
        </w:rPr>
        <w:t>を達成できる確率を</w:t>
      </w:r>
      <w:r w:rsidRPr="0018168D">
        <w:t>9</w:t>
      </w:r>
      <w:r w:rsidRPr="0018168D">
        <w:rPr>
          <w:rFonts w:hint="eastAsia"/>
        </w:rPr>
        <w:t>0</w:t>
      </w:r>
      <w:r w:rsidRPr="0018168D">
        <w:t>％と</w:t>
      </w:r>
      <w:r w:rsidRPr="0018168D">
        <w:rPr>
          <w:rFonts w:hint="eastAsia"/>
        </w:rPr>
        <w:t>して、計算すると</w:t>
      </w:r>
      <w:r w:rsidRPr="0018168D">
        <w:t>必要症例数は10</w:t>
      </w:r>
      <w:r w:rsidRPr="0018168D">
        <w:rPr>
          <w:rFonts w:hint="eastAsia"/>
        </w:rPr>
        <w:t>94</w:t>
      </w:r>
      <w:r w:rsidRPr="0018168D">
        <w:t>例となる。</w:t>
      </w:r>
      <w:r w:rsidRPr="0018168D">
        <w:rPr>
          <w:rFonts w:hint="eastAsia"/>
        </w:rPr>
        <w:t>脱落症例を10％</w:t>
      </w:r>
      <w:r>
        <w:rPr>
          <w:rFonts w:hint="eastAsia"/>
        </w:rPr>
        <w:t>程度見込み、目標症例数は1200例とした。</w:t>
      </w:r>
    </w:p>
    <w:p w14:paraId="6934B382" w14:textId="2BBD6958" w:rsidR="00F15087" w:rsidRPr="004513D0" w:rsidRDefault="00F15087" w:rsidP="00F12244">
      <w:pPr>
        <w:ind w:leftChars="100" w:left="240" w:firstLine="240"/>
      </w:pPr>
      <w:r w:rsidRPr="004513D0">
        <w:t>CMLの年間10万人あたり1-2人の発症率より</w:t>
      </w:r>
      <w:r w:rsidR="002351AD" w:rsidRPr="004513D0">
        <w:rPr>
          <w:vertAlign w:val="superscript"/>
        </w:rPr>
        <w:t>1</w:t>
      </w:r>
      <w:r w:rsidR="002351AD">
        <w:rPr>
          <w:rFonts w:hint="eastAsia"/>
          <w:vertAlign w:val="superscript"/>
        </w:rPr>
        <w:t>0</w:t>
      </w:r>
      <w:r w:rsidRPr="004513D0">
        <w:t>、国内では1年に約1500人以上新規CML症例が発症していると予想される。10年の全生存率はTKI治療によりほぼ年齢を一致させた集団の生存曲線と差はなく現在15000人以上のCML症例がTKI治療を受けていると考えられる。このうち長期TKI療法によりDMRを達成し維持している症例は30％ 程度と見込まれることから約4500人がTKI中止の候補者となると考えられる。</w:t>
      </w:r>
    </w:p>
    <w:p w14:paraId="25D76BE1" w14:textId="77777777" w:rsidR="00F15087" w:rsidRPr="004513D0" w:rsidRDefault="00F15087" w:rsidP="00F12244">
      <w:pPr>
        <w:ind w:leftChars="100" w:left="240" w:firstLine="240"/>
      </w:pPr>
      <w:r w:rsidRPr="004513D0">
        <w:t>日本血液学会血液疾患登録による2017年集計ではCMLが計1072人（20歳以上1049例、20歳未満23例）新規に登録されており、これは推定される年間発症の60％程度である。本研究は、血液学会登録事業に参加しているアクティブな施設以外での症例登録を含める観察研究であることから新規TKI中止候補者は、約2700人と推定される。そのうちTKI中止の同意を得られる割合を30％、および適格除外基準に該当する対象者の存在を考慮すると、本研究に登録できる症例は70％程度と推測されることから、本研究における新規のTKI中止症例は600人と計算された。</w:t>
      </w:r>
    </w:p>
    <w:p w14:paraId="54524E8F" w14:textId="476C9A58" w:rsidR="00F15087" w:rsidRDefault="00F15087" w:rsidP="00F12244">
      <w:pPr>
        <w:ind w:leftChars="100" w:left="240" w:firstLine="240"/>
      </w:pPr>
      <w:r w:rsidRPr="004513D0">
        <w:t>一方、過去に本邦で行われた、あるいは現在行われているTKI中止試験の報告は複数あり、UMINで検索し得る代表的な多施設共同研究としてJALSG D-STOP216試験（50人予定、現時点で35人程度）、JALSG N-STOP216試験（50人予定、現時点で35人程度）、STKI-14（25人）、JALSG STIM213 （62人）</w:t>
      </w:r>
      <w:r w:rsidR="002351AD">
        <w:rPr>
          <w:rFonts w:hint="eastAsia"/>
          <w:vertAlign w:val="superscript"/>
        </w:rPr>
        <w:t>8</w:t>
      </w:r>
      <w:r w:rsidRPr="004513D0">
        <w:t>、STDAST（60人）、NILSt（87人）</w:t>
      </w:r>
      <w:r w:rsidR="002351AD">
        <w:rPr>
          <w:rFonts w:hint="eastAsia"/>
          <w:vertAlign w:val="superscript"/>
        </w:rPr>
        <w:t>11</w:t>
      </w:r>
      <w:r w:rsidRPr="004513D0">
        <w:t>、STAT2（78人）、DADI（63人）</w:t>
      </w:r>
      <w:r w:rsidR="002351AD">
        <w:rPr>
          <w:rFonts w:hint="eastAsia"/>
          <w:vertAlign w:val="superscript"/>
        </w:rPr>
        <w:t>12</w:t>
      </w:r>
      <w:r w:rsidRPr="004513D0">
        <w:t>、KEIO-STIM（41人）</w:t>
      </w:r>
      <w:r w:rsidR="002351AD">
        <w:rPr>
          <w:rFonts w:hint="eastAsia"/>
          <w:vertAlign w:val="superscript"/>
        </w:rPr>
        <w:t>6</w:t>
      </w:r>
      <w:r w:rsidR="002351AD" w:rsidRPr="004513D0">
        <w:rPr>
          <w:vertAlign w:val="superscript"/>
        </w:rPr>
        <w:t>,</w:t>
      </w:r>
      <w:r w:rsidR="002351AD">
        <w:rPr>
          <w:rFonts w:hint="eastAsia"/>
          <w:vertAlign w:val="superscript"/>
        </w:rPr>
        <w:t>13</w:t>
      </w:r>
      <w:r w:rsidRPr="004513D0">
        <w:t>（以上計461人）のほか単施設で行われ未発表の試験（東京女子医大、順天堂大学、岩手医大など）も多数あり、これらの中止試験による中止症例に日常診療での過去のTKI中止症例を追加すると、過去のTKI中止症</w:t>
      </w:r>
      <w:r w:rsidRPr="004513D0">
        <w:lastRenderedPageBreak/>
        <w:t>例は、約1200例となると推測される。このうち半数から同意が得られるとすると過去のTKI中止症例で長期前向き観察が可能な症例数は600人と推測された。したがって、解析に必要と推定された目標症例数1200例（新規TKI中止600例＋過去の中止例600例）のリクルートは可能であると判断した。</w:t>
      </w:r>
    </w:p>
    <w:p w14:paraId="32209C4C" w14:textId="77777777" w:rsidR="00E07C6E" w:rsidRDefault="00E07C6E" w:rsidP="00F12244">
      <w:pPr>
        <w:ind w:leftChars="100" w:left="240" w:firstLine="240"/>
      </w:pPr>
    </w:p>
    <w:p w14:paraId="2818EA93" w14:textId="77777777" w:rsidR="00E07C6E" w:rsidRPr="004513D0" w:rsidRDefault="00E07C6E" w:rsidP="00F12244">
      <w:pPr>
        <w:ind w:leftChars="100" w:left="240" w:firstLine="240"/>
      </w:pPr>
    </w:p>
    <w:p w14:paraId="43416CB9" w14:textId="77777777" w:rsidR="002A69E3" w:rsidRPr="004513D0" w:rsidRDefault="00424D15">
      <w:pPr>
        <w:pStyle w:val="1"/>
        <w:rPr>
          <w:rFonts w:ascii="ＭＳ Ｐ明朝" w:eastAsia="ＭＳ Ｐ明朝" w:hAnsi="ＭＳ Ｐ明朝" w:cs="ＭＳ Ｐ明朝"/>
        </w:rPr>
      </w:pPr>
      <w:bookmarkStart w:id="9" w:name="_Toc12865301"/>
      <w:r w:rsidRPr="004513D0">
        <w:rPr>
          <w:rFonts w:ascii="ＭＳ Ｐ明朝" w:eastAsia="ＭＳ Ｐ明朝" w:hAnsi="ＭＳ Ｐ明朝" w:cs="ＭＳ Ｐ明朝"/>
        </w:rPr>
        <w:t>１．背景</w:t>
      </w:r>
      <w:bookmarkEnd w:id="9"/>
    </w:p>
    <w:p w14:paraId="3FF4C874" w14:textId="77777777" w:rsidR="002A69E3" w:rsidRPr="004513D0" w:rsidRDefault="00424D15">
      <w:pPr>
        <w:pStyle w:val="2"/>
        <w:rPr>
          <w:rFonts w:ascii="ＭＳ Ｐ明朝" w:eastAsia="ＭＳ Ｐ明朝" w:hAnsi="ＭＳ Ｐ明朝" w:cs="ＭＳ Ｐ明朝"/>
        </w:rPr>
      </w:pPr>
      <w:bookmarkStart w:id="10" w:name="_Toc12865302"/>
      <w:r w:rsidRPr="004513D0">
        <w:rPr>
          <w:rFonts w:ascii="ＭＳ Ｐ明朝" w:eastAsia="ＭＳ Ｐ明朝" w:hAnsi="ＭＳ Ｐ明朝" w:cs="ＭＳ Ｐ明朝"/>
        </w:rPr>
        <w:t>1.1．対象疾患</w:t>
      </w:r>
      <w:bookmarkEnd w:id="10"/>
    </w:p>
    <w:p w14:paraId="2CBADC6A" w14:textId="4FD2FFD7" w:rsidR="002A69E3" w:rsidRPr="004513D0" w:rsidRDefault="00424D15">
      <w:pPr>
        <w:ind w:firstLine="240"/>
      </w:pPr>
      <w:r w:rsidRPr="004513D0">
        <w:t>CMLの年間発生率は10万人当たり約1－2人であり</w:t>
      </w:r>
      <w:r w:rsidR="002351AD" w:rsidRPr="004513D0">
        <w:rPr>
          <w:vertAlign w:val="superscript"/>
        </w:rPr>
        <w:t>1</w:t>
      </w:r>
      <w:r w:rsidR="002351AD">
        <w:rPr>
          <w:rFonts w:hint="eastAsia"/>
          <w:vertAlign w:val="superscript"/>
        </w:rPr>
        <w:t>0</w:t>
      </w:r>
      <w:r w:rsidRPr="004513D0">
        <w:t>、著明な白血球増加や血小板増加を特徴とする多能性造血幹細胞の腫瘍性疾患である。主な病因としては、Ph染色体と呼ばれる特異的な染色体異常により生じる</w:t>
      </w:r>
      <w:r w:rsidRPr="004513D0">
        <w:rPr>
          <w:i/>
        </w:rPr>
        <w:t>BCR-ABL</w:t>
      </w:r>
      <w:r w:rsidRPr="004513D0">
        <w:t>融合遺伝子から</w:t>
      </w:r>
      <w:r w:rsidRPr="004513D0">
        <w:rPr>
          <w:i/>
        </w:rPr>
        <w:t>BCR-ABL</w:t>
      </w:r>
      <w:r w:rsidRPr="004513D0">
        <w:t xml:space="preserve"> mRNAが転写され、翻訳されたBCR-ABL融合蛋白質が白血病細胞を増加させると考えられている</w:t>
      </w:r>
      <w:r w:rsidR="002351AD" w:rsidRPr="004513D0">
        <w:rPr>
          <w:vertAlign w:val="superscript"/>
        </w:rPr>
        <w:t>1</w:t>
      </w:r>
      <w:r w:rsidR="002351AD">
        <w:rPr>
          <w:rFonts w:hint="eastAsia"/>
          <w:vertAlign w:val="superscript"/>
        </w:rPr>
        <w:t>4</w:t>
      </w:r>
      <w:r w:rsidRPr="004513D0">
        <w:t>。CMLは慢性期から移行期、急性転化へと進行する造血器悪性腫瘍であり、慢性期では症状が軽度にとどまるが、適切な治療がなされない場合、通常数年の経過で移行期を経て、血液及び骨髄中に幼若な細胞（芽球）が増加した急性転化へ進展する</w:t>
      </w:r>
      <w:r w:rsidR="002351AD" w:rsidRPr="004513D0">
        <w:rPr>
          <w:vertAlign w:val="superscript"/>
        </w:rPr>
        <w:t>1</w:t>
      </w:r>
      <w:r w:rsidR="002351AD">
        <w:rPr>
          <w:rFonts w:hint="eastAsia"/>
          <w:vertAlign w:val="superscript"/>
        </w:rPr>
        <w:t>5</w:t>
      </w:r>
      <w:r w:rsidRPr="004513D0">
        <w:t>。急性転化は出血、感染症、貧血など重篤な症状を呈する致死的な病態であり、有効な治療法のない時代の生存期間中央値は3～5年であったが、TKIの開発により急性転化を回避することで、現在は長期生存が可能となっている</w:t>
      </w:r>
      <w:r w:rsidR="002351AD">
        <w:rPr>
          <w:rFonts w:hint="eastAsia"/>
          <w:vertAlign w:val="superscript"/>
        </w:rPr>
        <w:t>5</w:t>
      </w:r>
      <w:r w:rsidRPr="004513D0">
        <w:t>。</w:t>
      </w:r>
    </w:p>
    <w:p w14:paraId="17A692EC" w14:textId="77777777" w:rsidR="002A69E3" w:rsidRPr="004513D0" w:rsidRDefault="002A69E3"/>
    <w:p w14:paraId="6C5F14FD" w14:textId="77777777" w:rsidR="002A69E3" w:rsidRPr="004513D0" w:rsidRDefault="00424D15">
      <w:pPr>
        <w:pStyle w:val="2"/>
        <w:rPr>
          <w:rFonts w:ascii="ＭＳ Ｐ明朝" w:eastAsia="ＭＳ Ｐ明朝" w:hAnsi="ＭＳ Ｐ明朝" w:cs="ＭＳ Ｐ明朝"/>
        </w:rPr>
      </w:pPr>
      <w:bookmarkStart w:id="11" w:name="_Toc12865303"/>
      <w:r w:rsidRPr="004513D0">
        <w:rPr>
          <w:rFonts w:ascii="ＭＳ Ｐ明朝" w:eastAsia="ＭＳ Ｐ明朝" w:hAnsi="ＭＳ Ｐ明朝" w:cs="ＭＳ Ｐ明朝"/>
        </w:rPr>
        <w:t>1.2．チロシンキナーゼ阻害薬（TKI）の概要と標準治療</w:t>
      </w:r>
      <w:bookmarkEnd w:id="11"/>
    </w:p>
    <w:p w14:paraId="16B52307" w14:textId="3AAB6E3A" w:rsidR="002A69E3" w:rsidRPr="004513D0" w:rsidRDefault="00424D15">
      <w:pPr>
        <w:ind w:firstLine="240"/>
      </w:pPr>
      <w:r w:rsidRPr="004513D0">
        <w:t>CMLに対するTKI治療効果の判定方法には、血液学的効果、細胞遺伝学的効果、分子遺伝学的効果の3 つがあり、末梢血データの正常化による血液学的完全寛解（complete hematologic response; CHR）、Ph染色体の消失による細胞遺伝学的完全寛解率（complete cytogenetic response; CCyR）、末梢血中の</w:t>
      </w:r>
      <w:r w:rsidRPr="004513D0">
        <w:rPr>
          <w:i/>
        </w:rPr>
        <w:t>BCR-ABL</w:t>
      </w:r>
      <w:r w:rsidRPr="004513D0">
        <w:t>遺伝子数（IS≦0.1</w:t>
      </w:r>
      <w:r w:rsidR="00722038" w:rsidRPr="004513D0">
        <w:t>％</w:t>
      </w:r>
      <w:r w:rsidRPr="004513D0">
        <w:t>）による分子遺伝学的大寛解率（MMR）、および分子遺伝学的完全寛解率（IS≦0.01</w:t>
      </w:r>
      <w:r w:rsidR="00722038" w:rsidRPr="004513D0">
        <w:t>％</w:t>
      </w:r>
      <w:r w:rsidRPr="004513D0">
        <w:t>; MR4.0あるいはIS≦0.0032</w:t>
      </w:r>
      <w:r w:rsidR="00722038" w:rsidRPr="004513D0">
        <w:t>％</w:t>
      </w:r>
      <w:r w:rsidRPr="004513D0">
        <w:t>; MR4.5）などで評価される</w:t>
      </w:r>
      <w:r w:rsidR="002351AD">
        <w:rPr>
          <w:rFonts w:hint="eastAsia"/>
          <w:vertAlign w:val="superscript"/>
        </w:rPr>
        <w:t>16</w:t>
      </w:r>
      <w:r w:rsidRPr="004513D0">
        <w:t>。イマチニブは、TKIとして初めて米国のFood and Drug Administrationの承認を受けたCML治療薬であり、既存のCML治療であったインターフェロン-α(IFN-α) およびシタラビンと比較して非常に高い有用性が示された</w:t>
      </w:r>
      <w:r w:rsidR="002351AD" w:rsidRPr="004513D0">
        <w:rPr>
          <w:vertAlign w:val="superscript"/>
        </w:rPr>
        <w:t>1</w:t>
      </w:r>
      <w:r w:rsidR="002351AD">
        <w:rPr>
          <w:rFonts w:hint="eastAsia"/>
          <w:vertAlign w:val="superscript"/>
        </w:rPr>
        <w:t>7</w:t>
      </w:r>
      <w:r w:rsidRPr="004513D0">
        <w:t>。2017年に報告されたIRIS試験ではイマチニブ</w:t>
      </w:r>
      <w:r w:rsidR="00671638" w:rsidRPr="004513D0">
        <w:rPr>
          <w:rFonts w:hint="eastAsia"/>
        </w:rPr>
        <w:t>で</w:t>
      </w:r>
      <w:r w:rsidRPr="004513D0">
        <w:t>治療</w:t>
      </w:r>
      <w:r w:rsidR="00671638" w:rsidRPr="004513D0">
        <w:rPr>
          <w:rFonts w:hint="eastAsia"/>
        </w:rPr>
        <w:t>され</w:t>
      </w:r>
      <w:r w:rsidR="00671638" w:rsidRPr="004513D0">
        <w:rPr>
          <w:lang w:val="en-US"/>
        </w:rPr>
        <w:t>1</w:t>
      </w:r>
      <w:r w:rsidR="00671638" w:rsidRPr="004513D0">
        <w:rPr>
          <w:rFonts w:hint="eastAsia"/>
          <w:lang w:val="en-US"/>
        </w:rPr>
        <w:t>0年時点で評価可能であった症例</w:t>
      </w:r>
      <w:r w:rsidRPr="004513D0">
        <w:t>のCCyR</w:t>
      </w:r>
      <w:r w:rsidR="00671638" w:rsidRPr="004513D0">
        <w:rPr>
          <w:rFonts w:hint="eastAsia"/>
        </w:rPr>
        <w:t>率</w:t>
      </w:r>
      <w:r w:rsidRPr="004513D0">
        <w:t>は</w:t>
      </w:r>
      <w:r w:rsidR="00F225FF" w:rsidRPr="004513D0">
        <w:t>92</w:t>
      </w:r>
      <w:r w:rsidR="00722038" w:rsidRPr="004513D0">
        <w:t>％</w:t>
      </w:r>
      <w:r w:rsidRPr="004513D0">
        <w:t>、MMR</w:t>
      </w:r>
      <w:r w:rsidR="00E43A7E" w:rsidRPr="004513D0">
        <w:rPr>
          <w:rFonts w:hint="eastAsia"/>
        </w:rPr>
        <w:t>率</w:t>
      </w:r>
      <w:r w:rsidRPr="004513D0">
        <w:t>は93</w:t>
      </w:r>
      <w:r w:rsidR="00722038" w:rsidRPr="004513D0">
        <w:t>％</w:t>
      </w:r>
      <w:r w:rsidRPr="004513D0">
        <w:t>であり、10年間の生存率は83.3</w:t>
      </w:r>
      <w:r w:rsidR="00722038" w:rsidRPr="004513D0">
        <w:t>％</w:t>
      </w:r>
      <w:r w:rsidRPr="004513D0">
        <w:t>であった</w:t>
      </w:r>
      <w:r w:rsidR="002351AD">
        <w:rPr>
          <w:rFonts w:hint="eastAsia"/>
          <w:vertAlign w:val="superscript"/>
        </w:rPr>
        <w:t>18</w:t>
      </w:r>
      <w:r w:rsidRPr="004513D0">
        <w:t>。</w:t>
      </w:r>
    </w:p>
    <w:p w14:paraId="3E0D736C" w14:textId="6E121A74" w:rsidR="002A69E3" w:rsidRPr="004513D0" w:rsidRDefault="00424D15">
      <w:pPr>
        <w:ind w:firstLine="240"/>
      </w:pPr>
      <w:r w:rsidRPr="004513D0">
        <w:t>ダサチニブ、ニロチニブ、ボスチニブは、イマチニブ耐性および不耐容の克服を目的として開発された第二世代ABLチロシンキナーゼ阻害薬である。初発慢性期CML(</w:t>
      </w:r>
      <w:r w:rsidR="00DB6CDD" w:rsidRPr="004513D0">
        <w:t xml:space="preserve">chronic phase CML; </w:t>
      </w:r>
      <w:r w:rsidRPr="004513D0">
        <w:t>CP-CML) 患者を対象としたイマチニブとダサチ</w:t>
      </w:r>
      <w:r w:rsidRPr="004513D0">
        <w:lastRenderedPageBreak/>
        <w:t>ニブとの無作為化比較試験（DASISION）の報告では、24ヶ月時点のCCyR</w:t>
      </w:r>
      <w:r w:rsidR="00DB6CDD" w:rsidRPr="004513D0">
        <w:rPr>
          <w:rFonts w:hint="eastAsia"/>
        </w:rPr>
        <w:t>率</w:t>
      </w:r>
      <w:r w:rsidRPr="004513D0">
        <w:t>はイマチニブ群で</w:t>
      </w:r>
      <w:r w:rsidR="00C36109" w:rsidRPr="004513D0">
        <w:t>8</w:t>
      </w:r>
      <w:r w:rsidR="00C36109">
        <w:rPr>
          <w:rFonts w:hint="eastAsia"/>
        </w:rPr>
        <w:t>2</w:t>
      </w:r>
      <w:r w:rsidR="00C36109" w:rsidRPr="004513D0">
        <w:t>％</w:t>
      </w:r>
      <w:r w:rsidRPr="004513D0">
        <w:t>、ダサチニブ群で</w:t>
      </w:r>
      <w:r w:rsidR="00C36109" w:rsidRPr="004513D0">
        <w:t>8</w:t>
      </w:r>
      <w:r w:rsidR="00C36109">
        <w:rPr>
          <w:rFonts w:hint="eastAsia"/>
        </w:rPr>
        <w:t>6</w:t>
      </w:r>
      <w:r w:rsidR="00C36109" w:rsidRPr="004513D0">
        <w:t>％</w:t>
      </w:r>
      <w:r w:rsidRPr="004513D0">
        <w:t xml:space="preserve">でありダサチニブ群で有意に高いことが示された </w:t>
      </w:r>
      <w:r w:rsidR="002351AD">
        <w:rPr>
          <w:rFonts w:hint="eastAsia"/>
          <w:vertAlign w:val="superscript"/>
        </w:rPr>
        <w:t>19</w:t>
      </w:r>
      <w:r w:rsidRPr="004513D0">
        <w:t>。本試験の5年後の結果では、日本人のダサチニブ治療を受けた患者の77</w:t>
      </w:r>
      <w:r w:rsidR="00722038" w:rsidRPr="004513D0">
        <w:t>％</w:t>
      </w:r>
      <w:r w:rsidRPr="004513D0">
        <w:t>、イマチニブ治療を受けた患者の61</w:t>
      </w:r>
      <w:r w:rsidR="00722038" w:rsidRPr="004513D0">
        <w:t>％</w:t>
      </w:r>
      <w:r w:rsidRPr="004513D0">
        <w:t>が初期治療を継続していた</w:t>
      </w:r>
      <w:r w:rsidR="002351AD" w:rsidRPr="004513D0">
        <w:rPr>
          <w:vertAlign w:val="superscript"/>
        </w:rPr>
        <w:t>2</w:t>
      </w:r>
      <w:r w:rsidR="002351AD">
        <w:rPr>
          <w:rFonts w:hint="eastAsia"/>
          <w:vertAlign w:val="superscript"/>
        </w:rPr>
        <w:t>0</w:t>
      </w:r>
      <w:r w:rsidRPr="004513D0">
        <w:t>。ニロチニブはイマチニブ感受性CML 細胞株ではイマチニブの30～50倍の阻害活性を示し</w:t>
      </w:r>
      <w:r w:rsidR="002351AD">
        <w:rPr>
          <w:rFonts w:hint="eastAsia"/>
          <w:vertAlign w:val="superscript"/>
        </w:rPr>
        <w:t>21</w:t>
      </w:r>
      <w:r w:rsidRPr="004513D0">
        <w:t>、変異ABLキナーゼのイマチニブ抵抗性細胞株33種類のうち32種類に阻害活性を示す薬剤である</w:t>
      </w:r>
      <w:r w:rsidR="002351AD">
        <w:rPr>
          <w:rFonts w:hint="eastAsia"/>
          <w:vertAlign w:val="superscript"/>
        </w:rPr>
        <w:t>22</w:t>
      </w:r>
      <w:r w:rsidRPr="004513D0">
        <w:t>。したがって、イマチニブよりABLキナーゼに対し高い結合親和性と選択性を有しており、ENESTnd試験において5年時までのMR4.5 達成率は、全患者の半数以上という高い奏効率を示した</w:t>
      </w:r>
      <w:r w:rsidR="002351AD" w:rsidRPr="004513D0">
        <w:rPr>
          <w:vertAlign w:val="superscript"/>
        </w:rPr>
        <w:t>2</w:t>
      </w:r>
      <w:r w:rsidR="002351AD">
        <w:rPr>
          <w:rFonts w:hint="eastAsia"/>
          <w:vertAlign w:val="superscript"/>
        </w:rPr>
        <w:t>3</w:t>
      </w:r>
      <w:r w:rsidRPr="004513D0">
        <w:t>。ボスチニブはT315Iの遺伝子変異を持つ患者には無効であるが、ABLに対する作用はイマチニブの約50倍であり、イマチニブで副作用の原因となるC-KITやPDGF受容体の阻害作用が弱い点が特徴である。BFORE試験における12</w:t>
      </w:r>
      <w:r w:rsidR="00DB6CDD" w:rsidRPr="004513D0">
        <w:rPr>
          <w:rFonts w:hint="eastAsia"/>
        </w:rPr>
        <w:t>ヶ月</w:t>
      </w:r>
      <w:r w:rsidRPr="004513D0">
        <w:t>時点でのボスチニブのMMR</w:t>
      </w:r>
      <w:r w:rsidR="00DB6CDD" w:rsidRPr="004513D0">
        <w:rPr>
          <w:rFonts w:hint="eastAsia"/>
        </w:rPr>
        <w:t>率</w:t>
      </w:r>
      <w:r w:rsidRPr="004513D0">
        <w:t>は47</w:t>
      </w:r>
      <w:r w:rsidR="00722038" w:rsidRPr="004513D0">
        <w:t>％</w:t>
      </w:r>
      <w:r w:rsidRPr="004513D0">
        <w:t>、CCyR</w:t>
      </w:r>
      <w:r w:rsidR="00DB6CDD" w:rsidRPr="004513D0">
        <w:rPr>
          <w:rFonts w:hint="eastAsia"/>
        </w:rPr>
        <w:t>率</w:t>
      </w:r>
      <w:r w:rsidRPr="004513D0">
        <w:t>は77</w:t>
      </w:r>
      <w:r w:rsidR="00722038" w:rsidRPr="004513D0">
        <w:t>％</w:t>
      </w:r>
      <w:r w:rsidRPr="004513D0">
        <w:t>とイマチニブの37</w:t>
      </w:r>
      <w:r w:rsidR="00722038" w:rsidRPr="004513D0">
        <w:t>％</w:t>
      </w:r>
      <w:r w:rsidRPr="004513D0">
        <w:t>、66</w:t>
      </w:r>
      <w:r w:rsidR="00722038" w:rsidRPr="004513D0">
        <w:t>％</w:t>
      </w:r>
      <w:r w:rsidRPr="004513D0">
        <w:t>と比較して有意に高かった</w:t>
      </w:r>
      <w:r w:rsidR="002351AD" w:rsidRPr="004513D0">
        <w:rPr>
          <w:vertAlign w:val="superscript"/>
        </w:rPr>
        <w:t>2</w:t>
      </w:r>
      <w:r w:rsidR="002351AD">
        <w:rPr>
          <w:rFonts w:hint="eastAsia"/>
          <w:vertAlign w:val="superscript"/>
        </w:rPr>
        <w:t>4</w:t>
      </w:r>
      <w:r w:rsidRPr="004513D0">
        <w:t>。　ポナチニブは、本邦で2016年に承認された第三世代BCR-ABLチロシンキナーゼ阻害薬であり、PACE試験ではTKIに抵抗性または不耐容を示すCML患者でのCCyR</w:t>
      </w:r>
      <w:r w:rsidR="00DB6CDD" w:rsidRPr="004513D0">
        <w:rPr>
          <w:rFonts w:hint="eastAsia"/>
        </w:rPr>
        <w:t>率</w:t>
      </w:r>
      <w:r w:rsidRPr="004513D0">
        <w:t>は49</w:t>
      </w:r>
      <w:r w:rsidR="00722038" w:rsidRPr="004513D0">
        <w:t>％</w:t>
      </w:r>
      <w:r w:rsidRPr="004513D0">
        <w:t>（T3151変異の患者では70</w:t>
      </w:r>
      <w:r w:rsidR="00722038" w:rsidRPr="004513D0">
        <w:t>％</w:t>
      </w:r>
      <w:r w:rsidRPr="004513D0">
        <w:t>）であった</w:t>
      </w:r>
      <w:r w:rsidR="002351AD" w:rsidRPr="004513D0">
        <w:rPr>
          <w:vertAlign w:val="superscript"/>
        </w:rPr>
        <w:t>2</w:t>
      </w:r>
      <w:r w:rsidR="002351AD">
        <w:rPr>
          <w:rFonts w:hint="eastAsia"/>
          <w:vertAlign w:val="superscript"/>
        </w:rPr>
        <w:t>5</w:t>
      </w:r>
      <w:r w:rsidRPr="004513D0">
        <w:t>。この薬剤は、T315Iを含むほぼ全ての変異BCR-ABLに有効である。</w:t>
      </w:r>
    </w:p>
    <w:p w14:paraId="2511D2B3" w14:textId="77777777" w:rsidR="002A69E3" w:rsidRPr="004513D0" w:rsidRDefault="005B56A4">
      <w:pPr>
        <w:ind w:firstLine="240"/>
      </w:pPr>
      <w:r w:rsidRPr="004513D0">
        <w:rPr>
          <w:noProof/>
          <w:lang w:val="en-US"/>
        </w:rPr>
        <w:drawing>
          <wp:anchor distT="0" distB="0" distL="114300" distR="114300" simplePos="0" relativeHeight="251656192" behindDoc="0" locked="0" layoutInCell="1" hidden="0" allowOverlap="1" wp14:anchorId="5743F981" wp14:editId="44FA9B29">
            <wp:simplePos x="0" y="0"/>
            <wp:positionH relativeFrom="margin">
              <wp:align>right</wp:align>
            </wp:positionH>
            <wp:positionV relativeFrom="paragraph">
              <wp:posOffset>702310</wp:posOffset>
            </wp:positionV>
            <wp:extent cx="4613275" cy="373380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613275" cy="3733800"/>
                    </a:xfrm>
                    <a:prstGeom prst="rect">
                      <a:avLst/>
                    </a:prstGeom>
                    <a:ln/>
                  </pic:spPr>
                </pic:pic>
              </a:graphicData>
            </a:graphic>
            <wp14:sizeRelH relativeFrom="margin">
              <wp14:pctWidth>0</wp14:pctWidth>
            </wp14:sizeRelH>
            <wp14:sizeRelV relativeFrom="margin">
              <wp14:pctHeight>0</wp14:pctHeight>
            </wp14:sizeRelV>
          </wp:anchor>
        </w:drawing>
      </w:r>
      <w:r w:rsidR="00424D15" w:rsidRPr="004513D0">
        <w:t>現時点のCP-CMLの治療では、イマチニブ、ニロチニブ、ダサチニブが第1選択薬として投与され、効果判定により至適奏功であればTKI治療を継続し、不成功であれば他のTKIへと変更する（図1）。</w:t>
      </w:r>
    </w:p>
    <w:p w14:paraId="37CCD60C" w14:textId="77777777" w:rsidR="002A69E3" w:rsidRPr="004513D0" w:rsidRDefault="002A69E3">
      <w:pPr>
        <w:ind w:firstLine="519"/>
        <w:rPr>
          <w:b/>
        </w:rPr>
      </w:pPr>
    </w:p>
    <w:p w14:paraId="483C6CF7" w14:textId="77777777" w:rsidR="002A69E3" w:rsidRPr="004513D0" w:rsidRDefault="00424D15">
      <w:r w:rsidRPr="004513D0">
        <w:rPr>
          <w:b/>
        </w:rPr>
        <w:t xml:space="preserve">図1．現在のTKIによる慢性期CMLの治療概略 </w:t>
      </w:r>
    </w:p>
    <w:p w14:paraId="512D1B11" w14:textId="77777777" w:rsidR="002A69E3" w:rsidRPr="004513D0" w:rsidRDefault="002A69E3"/>
    <w:p w14:paraId="4A744520" w14:textId="77777777" w:rsidR="002A69E3" w:rsidRPr="004513D0" w:rsidRDefault="00424D15">
      <w:pPr>
        <w:pStyle w:val="2"/>
        <w:rPr>
          <w:rFonts w:ascii="ＭＳ Ｐ明朝" w:eastAsia="ＭＳ Ｐ明朝" w:hAnsi="ＭＳ Ｐ明朝" w:cs="ＭＳ Ｐ明朝"/>
        </w:rPr>
      </w:pPr>
      <w:bookmarkStart w:id="12" w:name="_Toc12865304"/>
      <w:r w:rsidRPr="004513D0">
        <w:rPr>
          <w:rFonts w:ascii="ＭＳ Ｐ明朝" w:eastAsia="ＭＳ Ｐ明朝" w:hAnsi="ＭＳ Ｐ明朝" w:cs="ＭＳ Ｐ明朝"/>
        </w:rPr>
        <w:t>1.3．本研究計画設定の根拠</w:t>
      </w:r>
      <w:bookmarkEnd w:id="12"/>
    </w:p>
    <w:p w14:paraId="698CB051" w14:textId="268E0BED" w:rsidR="002A69E3" w:rsidRPr="004513D0" w:rsidRDefault="00424D15">
      <w:pPr>
        <w:ind w:firstLine="240"/>
      </w:pPr>
      <w:r w:rsidRPr="004513D0">
        <w:t>TKI治療によって、CML患者の生存期間は大きく改善されてきたが、現在のCML治療のガイドラインでは継続したTKI治療を推奨している</w:t>
      </w:r>
      <w:r w:rsidR="002351AD" w:rsidRPr="004513D0">
        <w:rPr>
          <w:vertAlign w:val="superscript"/>
        </w:rPr>
        <w:t>1</w:t>
      </w:r>
      <w:r w:rsidR="002351AD">
        <w:rPr>
          <w:rFonts w:hint="eastAsia"/>
          <w:vertAlign w:val="superscript"/>
        </w:rPr>
        <w:t>6</w:t>
      </w:r>
      <w:r w:rsidRPr="004513D0">
        <w:t>。しかしながら、長期の継続したTKI治療は患者のQOLの低下や高額な医療費による負担が大きいことから、TKI治療の中止を長期に追跡した臨床試験が実施されてきた</w:t>
      </w:r>
      <w:r w:rsidR="002351AD">
        <w:rPr>
          <w:rFonts w:hint="eastAsia"/>
          <w:vertAlign w:val="superscript"/>
        </w:rPr>
        <w:t>4</w:t>
      </w:r>
      <w:r w:rsidR="002351AD" w:rsidRPr="004513D0">
        <w:rPr>
          <w:vertAlign w:val="superscript"/>
        </w:rPr>
        <w:t>,</w:t>
      </w:r>
      <w:r w:rsidR="002351AD">
        <w:rPr>
          <w:rFonts w:hint="eastAsia"/>
          <w:vertAlign w:val="superscript"/>
        </w:rPr>
        <w:t>5</w:t>
      </w:r>
      <w:r w:rsidR="002351AD" w:rsidRPr="004513D0">
        <w:rPr>
          <w:vertAlign w:val="superscript"/>
        </w:rPr>
        <w:t>,1</w:t>
      </w:r>
      <w:r w:rsidR="002351AD">
        <w:rPr>
          <w:rFonts w:hint="eastAsia"/>
          <w:vertAlign w:val="superscript"/>
        </w:rPr>
        <w:t>1</w:t>
      </w:r>
      <w:r w:rsidR="002351AD" w:rsidRPr="004513D0">
        <w:rPr>
          <w:vertAlign w:val="superscript"/>
        </w:rPr>
        <w:t>,1</w:t>
      </w:r>
      <w:r w:rsidR="002351AD">
        <w:rPr>
          <w:rFonts w:hint="eastAsia"/>
          <w:vertAlign w:val="superscript"/>
        </w:rPr>
        <w:t>2</w:t>
      </w:r>
      <w:r w:rsidR="002351AD" w:rsidRPr="004513D0">
        <w:rPr>
          <w:vertAlign w:val="superscript"/>
        </w:rPr>
        <w:t>,2</w:t>
      </w:r>
      <w:r w:rsidR="002351AD">
        <w:rPr>
          <w:rFonts w:hint="eastAsia"/>
          <w:vertAlign w:val="superscript"/>
        </w:rPr>
        <w:t>6</w:t>
      </w:r>
      <w:r w:rsidR="002351AD" w:rsidRPr="004513D0">
        <w:rPr>
          <w:vertAlign w:val="superscript"/>
        </w:rPr>
        <w:t>-3</w:t>
      </w:r>
      <w:r w:rsidR="002351AD">
        <w:rPr>
          <w:rFonts w:hint="eastAsia"/>
          <w:vertAlign w:val="superscript"/>
        </w:rPr>
        <w:t>3</w:t>
      </w:r>
      <w:r w:rsidRPr="004513D0">
        <w:t>（図2）。</w:t>
      </w:r>
    </w:p>
    <w:p w14:paraId="55550F82" w14:textId="734FA5D8" w:rsidR="002A69E3" w:rsidRPr="004513D0" w:rsidRDefault="00424D15">
      <w:pPr>
        <w:ind w:firstLine="240"/>
      </w:pPr>
      <w:r w:rsidRPr="004513D0">
        <w:t>Sausseleら（EURO-SKI）は、3年以上TKI療法を受け、1年以上の深い分子遺伝学的奏効が確認されたヨーロッパ11ヶ国のCML患者（n=758）で、TKI治療を中止した結果、分子遺伝学的無再発生存率は6か月時点で61</w:t>
      </w:r>
      <w:r w:rsidR="00722038" w:rsidRPr="004513D0">
        <w:t>％</w:t>
      </w:r>
      <w:r w:rsidRPr="004513D0">
        <w:t>、24ヶ月で50</w:t>
      </w:r>
      <w:r w:rsidR="00722038" w:rsidRPr="004513D0">
        <w:t>％</w:t>
      </w:r>
      <w:r w:rsidRPr="004513D0">
        <w:t>であった。本試験の初回イマチニブ治療を受けた患者での解析では、より長い期間のTKI治療（1年あたりオッズ比 [OR] 1.14）とより長く深い分子遺伝学的奏効の維持期間（OR：1.13）が6ヶ月時点でのMMRの維持率と関連した。また、31</w:t>
      </w:r>
      <w:r w:rsidR="00722038" w:rsidRPr="004513D0">
        <w:t>％</w:t>
      </w:r>
      <w:r w:rsidRPr="004513D0">
        <w:t>の患者でTKI離脱症候群の発症が確認されたが、重篤な有害事象は報告されなかった。さらに本試験では、TKI中止は大きなコスト削減と関連していた（2200万ユーロ）ことも報告されている</w:t>
      </w:r>
      <w:r w:rsidR="002351AD">
        <w:rPr>
          <w:rFonts w:hint="eastAsia"/>
          <w:vertAlign w:val="superscript"/>
        </w:rPr>
        <w:t>5</w:t>
      </w:r>
      <w:r w:rsidRPr="004513D0">
        <w:t>。本邦でも、イマチニブ治療を中止した患者の47</w:t>
      </w:r>
      <w:r w:rsidR="00722038" w:rsidRPr="004513D0">
        <w:t>％</w:t>
      </w:r>
      <w:r w:rsidRPr="004513D0">
        <w:t>で長期間のCMRが観察されており</w:t>
      </w:r>
      <w:r w:rsidR="002351AD">
        <w:rPr>
          <w:rFonts w:hint="eastAsia"/>
          <w:vertAlign w:val="superscript"/>
        </w:rPr>
        <w:t>7</w:t>
      </w:r>
      <w:r w:rsidRPr="004513D0">
        <w:t xml:space="preserve">、多くのTKI中止試験（KEIO </w:t>
      </w:r>
      <w:r w:rsidR="002351AD" w:rsidRPr="004513D0">
        <w:t>Study</w:t>
      </w:r>
      <w:r w:rsidR="002351AD">
        <w:rPr>
          <w:rFonts w:hint="eastAsia"/>
          <w:vertAlign w:val="superscript"/>
        </w:rPr>
        <w:t>6</w:t>
      </w:r>
      <w:r w:rsidRPr="004513D0">
        <w:t>、JALSG-</w:t>
      </w:r>
      <w:r w:rsidR="002351AD" w:rsidRPr="004513D0">
        <w:t>STIM213</w:t>
      </w:r>
      <w:r w:rsidR="002351AD">
        <w:rPr>
          <w:rFonts w:hint="eastAsia"/>
          <w:vertAlign w:val="superscript"/>
        </w:rPr>
        <w:t>8</w:t>
      </w:r>
      <w:r w:rsidRPr="004513D0">
        <w:t>、</w:t>
      </w:r>
      <w:r w:rsidR="002351AD" w:rsidRPr="004513D0">
        <w:t>DOMEST</w:t>
      </w:r>
      <w:r w:rsidR="002351AD">
        <w:rPr>
          <w:rFonts w:hint="eastAsia"/>
          <w:vertAlign w:val="superscript"/>
        </w:rPr>
        <w:t>9</w:t>
      </w:r>
      <w:r w:rsidRPr="004513D0">
        <w:t>、DADI</w:t>
      </w:r>
      <w:r w:rsidRPr="004513D0">
        <w:rPr>
          <w:vertAlign w:val="superscript"/>
        </w:rPr>
        <w:t>1</w:t>
      </w:r>
      <w:r w:rsidR="002351AD">
        <w:rPr>
          <w:rFonts w:hint="eastAsia"/>
          <w:vertAlign w:val="superscript"/>
        </w:rPr>
        <w:t>2</w:t>
      </w:r>
      <w:r w:rsidRPr="004513D0">
        <w:t>、D-STOP、1st-DADI、Nilst</w:t>
      </w:r>
      <w:r w:rsidRPr="004513D0">
        <w:rPr>
          <w:vertAlign w:val="superscript"/>
        </w:rPr>
        <w:t>1</w:t>
      </w:r>
      <w:r w:rsidR="002351AD">
        <w:rPr>
          <w:rFonts w:hint="eastAsia"/>
          <w:vertAlign w:val="superscript"/>
        </w:rPr>
        <w:t>1</w:t>
      </w:r>
      <w:r w:rsidRPr="004513D0">
        <w:t>）でもTKI治療を中止できる可能性が示されてきた。</w:t>
      </w:r>
    </w:p>
    <w:p w14:paraId="3B40C046" w14:textId="438F93B0" w:rsidR="002A69E3" w:rsidRPr="004513D0" w:rsidRDefault="00424D15">
      <w:pPr>
        <w:ind w:firstLine="240"/>
      </w:pPr>
      <w:r w:rsidRPr="004513D0">
        <w:t>現在の標準治療による継続したTKI治療により、多くの患者が深い分子遺伝学的奏効を獲得している状況にあり、これまでの臨床試験の成果から、2年以上にわたり深い分子応答（≧MR4.0、≦0.01</w:t>
      </w:r>
      <w:r w:rsidR="00722038" w:rsidRPr="004513D0">
        <w:t>％</w:t>
      </w:r>
      <w:r w:rsidR="00D820FD" w:rsidRPr="004513D0">
        <w:t xml:space="preserve"> </w:t>
      </w:r>
      <w:r w:rsidRPr="004513D0">
        <w:t>BCR-ABLIS）を維持している慎重に選択された患者において、適正なモニタリングとともにTKI治療の中止を実施できる可能性が実臨床においても期待されている。</w:t>
      </w:r>
      <w:r w:rsidRPr="004513D0">
        <w:rPr>
          <w:noProof/>
          <w:lang w:val="en-US"/>
        </w:rPr>
        <mc:AlternateContent>
          <mc:Choice Requires="wps">
            <w:drawing>
              <wp:anchor distT="0" distB="0" distL="114300" distR="114300" simplePos="0" relativeHeight="251658240" behindDoc="0" locked="0" layoutInCell="1" hidden="0" allowOverlap="1" wp14:anchorId="36058BE4" wp14:editId="0DD48984">
                <wp:simplePos x="0" y="0"/>
                <wp:positionH relativeFrom="column">
                  <wp:posOffset>11379200</wp:posOffset>
                </wp:positionH>
                <wp:positionV relativeFrom="paragraph">
                  <wp:posOffset>8458200</wp:posOffset>
                </wp:positionV>
                <wp:extent cx="4460875" cy="329565"/>
                <wp:effectExtent l="0" t="0" r="0" b="0"/>
                <wp:wrapNone/>
                <wp:docPr id="1" name="Rectangle 1"/>
                <wp:cNvGraphicFramePr/>
                <a:graphic xmlns:a="http://schemas.openxmlformats.org/drawingml/2006/main">
                  <a:graphicData uri="http://schemas.microsoft.com/office/word/2010/wordprocessingShape">
                    <wps:wsp>
                      <wps:cNvSpPr/>
                      <wps:spPr>
                        <a:xfrm>
                          <a:off x="3120325" y="3619980"/>
                          <a:ext cx="4451350" cy="320040"/>
                        </a:xfrm>
                        <a:prstGeom prst="rect">
                          <a:avLst/>
                        </a:prstGeom>
                        <a:noFill/>
                        <a:ln>
                          <a:noFill/>
                        </a:ln>
                      </wps:spPr>
                      <wps:txbx>
                        <w:txbxContent>
                          <w:p w14:paraId="23C6F7F5" w14:textId="77777777" w:rsidR="00EB7772" w:rsidRPr="00871597" w:rsidRDefault="00EB7772">
                            <w:pPr>
                              <w:spacing w:line="240" w:lineRule="auto"/>
                              <w:textDirection w:val="btLr"/>
                              <w:rPr>
                                <w:lang w:val="en-US"/>
                              </w:rPr>
                            </w:pPr>
                            <w:r w:rsidRPr="00871597">
                              <w:rPr>
                                <w:rFonts w:ascii="Century" w:eastAsia="Century" w:hAnsi="Century" w:cs="Century"/>
                                <w:color w:val="000000"/>
                                <w:sz w:val="22"/>
                                <w:lang w:val="en-US"/>
                              </w:rPr>
                              <w:t>National Comprehensive Cancer Network Guidelines Ver.1.2019</w:t>
                            </w:r>
                          </w:p>
                        </w:txbxContent>
                      </wps:txbx>
                      <wps:bodyPr spcFirstLastPara="1" wrap="square" lIns="91425" tIns="45700" rIns="91425" bIns="45700" anchor="t" anchorCtr="0"/>
                    </wps:wsp>
                  </a:graphicData>
                </a:graphic>
              </wp:anchor>
            </w:drawing>
          </mc:Choice>
          <mc:Fallback>
            <w:pict>
              <v:rect w14:anchorId="36058BE4" id="Rectangle 1" o:spid="_x0000_s1026" style="position:absolute;left:0;text-align:left;margin-left:896pt;margin-top:666pt;width:351.25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" filled="f" stroked="f">
                <v:textbox inset="2.53958mm,1.2694mm,2.53958mm,1.2694mm">
                  <w:txbxContent>
                    <w:p w14:paraId="23C6F7F5" w14:textId="77777777" w:rsidR="00EB7772" w:rsidRPr="00871597" w:rsidRDefault="00EB7772">
                      <w:pPr>
                        <w:spacing w:line="240" w:lineRule="auto"/>
                        <w:textDirection w:val="btLr"/>
                        <w:rPr>
                          <w:lang w:val="en-US"/>
                        </w:rPr>
                      </w:pPr>
                      <w:r w:rsidRPr="00871597">
                        <w:rPr>
                          <w:rFonts w:ascii="Century" w:eastAsia="Century" w:hAnsi="Century" w:cs="Century"/>
                          <w:color w:val="000000"/>
                          <w:sz w:val="22"/>
                          <w:lang w:val="en-US"/>
                        </w:rPr>
                        <w:t>National Comprehensive Cancer Network Guidelines Ver.1.2019</w:t>
                      </w:r>
                    </w:p>
                  </w:txbxContent>
                </v:textbox>
              </v:rect>
            </w:pict>
          </mc:Fallback>
        </mc:AlternateContent>
      </w:r>
    </w:p>
    <w:tbl>
      <w:tblPr>
        <w:tblStyle w:val="10"/>
        <w:tblW w:w="10201"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643"/>
        <w:gridCol w:w="2492"/>
        <w:gridCol w:w="2552"/>
        <w:gridCol w:w="1842"/>
      </w:tblGrid>
      <w:tr w:rsidR="002A69E3" w:rsidRPr="004513D0" w14:paraId="656616B0" w14:textId="77777777" w:rsidTr="005B56A4">
        <w:trPr>
          <w:trHeight w:val="260"/>
        </w:trPr>
        <w:tc>
          <w:tcPr>
            <w:tcW w:w="2672" w:type="dxa"/>
            <w:shd w:val="clear" w:color="auto" w:fill="auto"/>
            <w:vAlign w:val="center"/>
          </w:tcPr>
          <w:p w14:paraId="3E1D134C" w14:textId="77777777" w:rsidR="002A69E3" w:rsidRPr="004513D0" w:rsidRDefault="00424D15">
            <w:pPr>
              <w:widowControl/>
              <w:jc w:val="center"/>
              <w:rPr>
                <w:b/>
              </w:rPr>
            </w:pPr>
            <w:r w:rsidRPr="004513D0">
              <w:rPr>
                <w:b/>
              </w:rPr>
              <w:t>Study</w:t>
            </w:r>
          </w:p>
        </w:tc>
        <w:tc>
          <w:tcPr>
            <w:tcW w:w="643" w:type="dxa"/>
            <w:shd w:val="clear" w:color="auto" w:fill="auto"/>
            <w:vAlign w:val="center"/>
          </w:tcPr>
          <w:p w14:paraId="7C7A2A97" w14:textId="77777777" w:rsidR="002A69E3" w:rsidRPr="004513D0" w:rsidRDefault="00424D15">
            <w:pPr>
              <w:widowControl/>
              <w:jc w:val="center"/>
              <w:rPr>
                <w:b/>
                <w:i/>
              </w:rPr>
            </w:pPr>
            <w:r w:rsidRPr="004513D0">
              <w:rPr>
                <w:b/>
                <w:i/>
              </w:rPr>
              <w:t>N</w:t>
            </w:r>
          </w:p>
        </w:tc>
        <w:tc>
          <w:tcPr>
            <w:tcW w:w="2492" w:type="dxa"/>
            <w:shd w:val="clear" w:color="auto" w:fill="auto"/>
            <w:vAlign w:val="center"/>
          </w:tcPr>
          <w:p w14:paraId="75C0D6D7" w14:textId="77777777" w:rsidR="002A69E3" w:rsidRPr="004513D0" w:rsidRDefault="00424D15">
            <w:pPr>
              <w:widowControl/>
              <w:jc w:val="center"/>
              <w:rPr>
                <w:b/>
              </w:rPr>
            </w:pPr>
            <w:r w:rsidRPr="004513D0">
              <w:rPr>
                <w:b/>
              </w:rPr>
              <w:t>TKI中止基準</w:t>
            </w:r>
          </w:p>
        </w:tc>
        <w:tc>
          <w:tcPr>
            <w:tcW w:w="2552" w:type="dxa"/>
            <w:shd w:val="clear" w:color="auto" w:fill="auto"/>
            <w:vAlign w:val="center"/>
          </w:tcPr>
          <w:p w14:paraId="01FEFD35" w14:textId="77777777" w:rsidR="002A69E3" w:rsidRPr="004513D0" w:rsidRDefault="00424D15">
            <w:pPr>
              <w:widowControl/>
              <w:jc w:val="center"/>
              <w:rPr>
                <w:b/>
              </w:rPr>
            </w:pPr>
            <w:r w:rsidRPr="004513D0">
              <w:rPr>
                <w:b/>
              </w:rPr>
              <w:t>TKIの再開基準</w:t>
            </w:r>
          </w:p>
        </w:tc>
        <w:tc>
          <w:tcPr>
            <w:tcW w:w="1842" w:type="dxa"/>
            <w:shd w:val="clear" w:color="auto" w:fill="auto"/>
            <w:vAlign w:val="center"/>
          </w:tcPr>
          <w:p w14:paraId="2E447A8D" w14:textId="77777777" w:rsidR="002A69E3" w:rsidRPr="004513D0" w:rsidRDefault="00424D15">
            <w:pPr>
              <w:widowControl/>
              <w:jc w:val="center"/>
              <w:rPr>
                <w:b/>
              </w:rPr>
            </w:pPr>
            <w:r w:rsidRPr="004513D0">
              <w:rPr>
                <w:b/>
              </w:rPr>
              <w:t>無治療寛解率</w:t>
            </w:r>
          </w:p>
          <w:p w14:paraId="141E31B8" w14:textId="77777777" w:rsidR="002A69E3" w:rsidRPr="004513D0" w:rsidRDefault="00424D15">
            <w:pPr>
              <w:widowControl/>
              <w:jc w:val="center"/>
              <w:rPr>
                <w:b/>
              </w:rPr>
            </w:pPr>
            <w:r w:rsidRPr="004513D0">
              <w:rPr>
                <w:b/>
              </w:rPr>
              <w:t>（TFR）</w:t>
            </w:r>
          </w:p>
        </w:tc>
      </w:tr>
      <w:tr w:rsidR="002A69E3" w:rsidRPr="004513D0" w14:paraId="06BD5235" w14:textId="77777777" w:rsidTr="005B56A4">
        <w:trPr>
          <w:trHeight w:val="100"/>
        </w:trPr>
        <w:tc>
          <w:tcPr>
            <w:tcW w:w="2672" w:type="dxa"/>
            <w:shd w:val="clear" w:color="auto" w:fill="auto"/>
            <w:vAlign w:val="center"/>
          </w:tcPr>
          <w:p w14:paraId="18815CA5" w14:textId="26823B95" w:rsidR="002A69E3" w:rsidRPr="004513D0" w:rsidRDefault="00424D15" w:rsidP="002351AD">
            <w:pPr>
              <w:widowControl/>
              <w:jc w:val="left"/>
            </w:pPr>
            <w:r w:rsidRPr="004513D0">
              <w:t>STIM1 (2017)</w:t>
            </w:r>
            <w:r w:rsidR="002351AD">
              <w:rPr>
                <w:rFonts w:hint="eastAsia"/>
                <w:vertAlign w:val="superscript"/>
              </w:rPr>
              <w:t>4</w:t>
            </w:r>
          </w:p>
        </w:tc>
        <w:tc>
          <w:tcPr>
            <w:tcW w:w="643" w:type="dxa"/>
            <w:shd w:val="clear" w:color="auto" w:fill="auto"/>
            <w:vAlign w:val="center"/>
          </w:tcPr>
          <w:p w14:paraId="35CBDF56" w14:textId="77777777" w:rsidR="002A69E3" w:rsidRPr="004513D0" w:rsidRDefault="00424D15">
            <w:pPr>
              <w:widowControl/>
              <w:jc w:val="center"/>
            </w:pPr>
            <w:r w:rsidRPr="004513D0">
              <w:t>100</w:t>
            </w:r>
          </w:p>
        </w:tc>
        <w:tc>
          <w:tcPr>
            <w:tcW w:w="2492" w:type="dxa"/>
            <w:shd w:val="clear" w:color="auto" w:fill="auto"/>
            <w:vAlign w:val="center"/>
          </w:tcPr>
          <w:p w14:paraId="6943C553" w14:textId="77777777" w:rsidR="002A69E3" w:rsidRPr="004513D0" w:rsidRDefault="00424D15">
            <w:pPr>
              <w:widowControl/>
              <w:ind w:firstLine="120"/>
              <w:jc w:val="left"/>
            </w:pPr>
            <w:r w:rsidRPr="004513D0">
              <w:t>2年以上のMR5.0</w:t>
            </w:r>
          </w:p>
        </w:tc>
        <w:tc>
          <w:tcPr>
            <w:tcW w:w="2552" w:type="dxa"/>
            <w:shd w:val="clear" w:color="auto" w:fill="auto"/>
            <w:tcMar>
              <w:left w:w="142" w:type="dxa"/>
            </w:tcMar>
            <w:vAlign w:val="center"/>
          </w:tcPr>
          <w:p w14:paraId="67F5EE3F" w14:textId="77777777" w:rsidR="002A69E3" w:rsidRPr="004513D0" w:rsidRDefault="00424D15">
            <w:pPr>
              <w:widowControl/>
              <w:jc w:val="center"/>
            </w:pPr>
            <w:r w:rsidRPr="004513D0">
              <w:t>MR5.0消失</w:t>
            </w:r>
          </w:p>
        </w:tc>
        <w:tc>
          <w:tcPr>
            <w:tcW w:w="1842" w:type="dxa"/>
            <w:shd w:val="clear" w:color="auto" w:fill="auto"/>
            <w:vAlign w:val="center"/>
          </w:tcPr>
          <w:p w14:paraId="60C1D2B5" w14:textId="03F0BAA8" w:rsidR="002A69E3" w:rsidRPr="004513D0" w:rsidRDefault="00424D15">
            <w:pPr>
              <w:widowControl/>
              <w:jc w:val="center"/>
            </w:pPr>
            <w:r w:rsidRPr="004513D0">
              <w:t>60ヶ月時38</w:t>
            </w:r>
            <w:r w:rsidR="00722038" w:rsidRPr="004513D0">
              <w:t>％</w:t>
            </w:r>
          </w:p>
        </w:tc>
      </w:tr>
      <w:tr w:rsidR="002A69E3" w:rsidRPr="004513D0" w14:paraId="1A008036" w14:textId="77777777" w:rsidTr="005B56A4">
        <w:trPr>
          <w:trHeight w:val="100"/>
        </w:trPr>
        <w:tc>
          <w:tcPr>
            <w:tcW w:w="2672" w:type="dxa"/>
            <w:shd w:val="clear" w:color="auto" w:fill="auto"/>
            <w:vAlign w:val="center"/>
          </w:tcPr>
          <w:p w14:paraId="280776AD" w14:textId="6D348ECE" w:rsidR="002A69E3" w:rsidRPr="004513D0" w:rsidRDefault="00424D15" w:rsidP="002351AD">
            <w:pPr>
              <w:widowControl/>
              <w:jc w:val="left"/>
            </w:pPr>
            <w:r w:rsidRPr="004513D0">
              <w:t>TWISTER (2013)</w:t>
            </w:r>
            <w:r w:rsidR="002351AD" w:rsidRPr="004513D0">
              <w:rPr>
                <w:vertAlign w:val="superscript"/>
              </w:rPr>
              <w:t>2</w:t>
            </w:r>
            <w:r w:rsidR="002351AD">
              <w:rPr>
                <w:rFonts w:hint="eastAsia"/>
                <w:vertAlign w:val="superscript"/>
              </w:rPr>
              <w:t>6</w:t>
            </w:r>
          </w:p>
        </w:tc>
        <w:tc>
          <w:tcPr>
            <w:tcW w:w="643" w:type="dxa"/>
            <w:shd w:val="clear" w:color="auto" w:fill="auto"/>
            <w:vAlign w:val="center"/>
          </w:tcPr>
          <w:p w14:paraId="41607FE6" w14:textId="77777777" w:rsidR="002A69E3" w:rsidRPr="004513D0" w:rsidRDefault="00424D15">
            <w:pPr>
              <w:widowControl/>
              <w:jc w:val="center"/>
            </w:pPr>
            <w:r w:rsidRPr="004513D0">
              <w:t>40</w:t>
            </w:r>
          </w:p>
        </w:tc>
        <w:tc>
          <w:tcPr>
            <w:tcW w:w="2492" w:type="dxa"/>
            <w:shd w:val="clear" w:color="auto" w:fill="auto"/>
            <w:vAlign w:val="center"/>
          </w:tcPr>
          <w:p w14:paraId="2E17651C" w14:textId="77777777" w:rsidR="002A69E3" w:rsidRPr="004513D0" w:rsidRDefault="00424D15">
            <w:pPr>
              <w:widowControl/>
              <w:ind w:firstLine="120"/>
              <w:jc w:val="left"/>
            </w:pPr>
            <w:r w:rsidRPr="004513D0">
              <w:t xml:space="preserve">2年以上のMR4.5 </w:t>
            </w:r>
          </w:p>
        </w:tc>
        <w:tc>
          <w:tcPr>
            <w:tcW w:w="2552" w:type="dxa"/>
            <w:shd w:val="clear" w:color="auto" w:fill="auto"/>
            <w:tcMar>
              <w:left w:w="142" w:type="dxa"/>
            </w:tcMar>
            <w:vAlign w:val="center"/>
          </w:tcPr>
          <w:p w14:paraId="528EB2BF" w14:textId="77777777" w:rsidR="002A69E3" w:rsidRPr="004513D0" w:rsidRDefault="00424D15">
            <w:pPr>
              <w:widowControl/>
              <w:jc w:val="center"/>
            </w:pPr>
            <w:r w:rsidRPr="004513D0">
              <w:t>MR5.0消失</w:t>
            </w:r>
          </w:p>
        </w:tc>
        <w:tc>
          <w:tcPr>
            <w:tcW w:w="1842" w:type="dxa"/>
            <w:shd w:val="clear" w:color="auto" w:fill="auto"/>
            <w:vAlign w:val="center"/>
          </w:tcPr>
          <w:p w14:paraId="476C1F7B" w14:textId="45357C66" w:rsidR="002A69E3" w:rsidRPr="004513D0" w:rsidRDefault="00424D15">
            <w:pPr>
              <w:widowControl/>
              <w:jc w:val="center"/>
            </w:pPr>
            <w:r w:rsidRPr="004513D0">
              <w:t>24ヶ月時47</w:t>
            </w:r>
            <w:r w:rsidR="00722038" w:rsidRPr="004513D0">
              <w:t>％</w:t>
            </w:r>
          </w:p>
        </w:tc>
      </w:tr>
      <w:tr w:rsidR="002A69E3" w:rsidRPr="004513D0" w14:paraId="529E3115" w14:textId="77777777" w:rsidTr="005B56A4">
        <w:trPr>
          <w:trHeight w:val="100"/>
        </w:trPr>
        <w:tc>
          <w:tcPr>
            <w:tcW w:w="2672" w:type="dxa"/>
            <w:shd w:val="clear" w:color="auto" w:fill="auto"/>
            <w:vAlign w:val="center"/>
          </w:tcPr>
          <w:p w14:paraId="204358E2" w14:textId="14576036" w:rsidR="002A69E3" w:rsidRPr="004513D0" w:rsidRDefault="00424D15" w:rsidP="002351AD">
            <w:pPr>
              <w:widowControl/>
              <w:jc w:val="left"/>
            </w:pPr>
            <w:r w:rsidRPr="004513D0">
              <w:t>HOVON(2013)</w:t>
            </w:r>
            <w:r w:rsidR="002351AD" w:rsidRPr="004513D0">
              <w:rPr>
                <w:vertAlign w:val="superscript"/>
              </w:rPr>
              <w:t>2</w:t>
            </w:r>
            <w:r w:rsidR="002351AD">
              <w:rPr>
                <w:rFonts w:hint="eastAsia"/>
                <w:vertAlign w:val="superscript"/>
              </w:rPr>
              <w:t>7</w:t>
            </w:r>
          </w:p>
        </w:tc>
        <w:tc>
          <w:tcPr>
            <w:tcW w:w="643" w:type="dxa"/>
            <w:shd w:val="clear" w:color="auto" w:fill="auto"/>
            <w:vAlign w:val="center"/>
          </w:tcPr>
          <w:p w14:paraId="52B59198" w14:textId="77777777" w:rsidR="002A69E3" w:rsidRPr="004513D0" w:rsidRDefault="00424D15">
            <w:pPr>
              <w:widowControl/>
              <w:jc w:val="center"/>
            </w:pPr>
            <w:r w:rsidRPr="004513D0">
              <w:t>15</w:t>
            </w:r>
          </w:p>
        </w:tc>
        <w:tc>
          <w:tcPr>
            <w:tcW w:w="2492" w:type="dxa"/>
            <w:shd w:val="clear" w:color="auto" w:fill="auto"/>
            <w:vAlign w:val="center"/>
          </w:tcPr>
          <w:p w14:paraId="1A9F569A"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tcPr>
          <w:p w14:paraId="6DCA1860" w14:textId="77777777" w:rsidR="002A69E3" w:rsidRPr="004513D0" w:rsidRDefault="00424D15">
            <w:pPr>
              <w:widowControl/>
              <w:jc w:val="center"/>
            </w:pPr>
            <w:r w:rsidRPr="004513D0">
              <w:t>MR4.5消失</w:t>
            </w:r>
          </w:p>
        </w:tc>
        <w:tc>
          <w:tcPr>
            <w:tcW w:w="1842" w:type="dxa"/>
            <w:shd w:val="clear" w:color="auto" w:fill="auto"/>
            <w:vAlign w:val="center"/>
          </w:tcPr>
          <w:p w14:paraId="7D16112F" w14:textId="2FF225D4" w:rsidR="002A69E3" w:rsidRPr="004513D0" w:rsidRDefault="00424D15">
            <w:pPr>
              <w:widowControl/>
              <w:jc w:val="center"/>
            </w:pPr>
            <w:r w:rsidRPr="004513D0">
              <w:t>24ヶ月時33</w:t>
            </w:r>
            <w:r w:rsidR="00722038" w:rsidRPr="004513D0">
              <w:t>％</w:t>
            </w:r>
          </w:p>
        </w:tc>
      </w:tr>
      <w:tr w:rsidR="002A69E3" w:rsidRPr="004513D0" w14:paraId="3C816B42" w14:textId="77777777" w:rsidTr="005B56A4">
        <w:trPr>
          <w:trHeight w:val="160"/>
        </w:trPr>
        <w:tc>
          <w:tcPr>
            <w:tcW w:w="2672" w:type="dxa"/>
            <w:shd w:val="clear" w:color="auto" w:fill="auto"/>
            <w:vAlign w:val="center"/>
          </w:tcPr>
          <w:p w14:paraId="19CDD9F5" w14:textId="7712B654" w:rsidR="002A69E3" w:rsidRPr="004513D0" w:rsidRDefault="00424D15" w:rsidP="002351AD">
            <w:pPr>
              <w:widowControl/>
              <w:jc w:val="left"/>
            </w:pPr>
            <w:r w:rsidRPr="004513D0">
              <w:t>A-STIM (2014)</w:t>
            </w:r>
            <w:r w:rsidR="002351AD">
              <w:rPr>
                <w:rFonts w:hint="eastAsia"/>
                <w:vertAlign w:val="superscript"/>
              </w:rPr>
              <w:t>28</w:t>
            </w:r>
          </w:p>
        </w:tc>
        <w:tc>
          <w:tcPr>
            <w:tcW w:w="643" w:type="dxa"/>
            <w:shd w:val="clear" w:color="auto" w:fill="auto"/>
            <w:vAlign w:val="center"/>
          </w:tcPr>
          <w:p w14:paraId="092F51FE" w14:textId="77777777" w:rsidR="002A69E3" w:rsidRPr="004513D0" w:rsidRDefault="00424D15">
            <w:pPr>
              <w:widowControl/>
              <w:jc w:val="center"/>
            </w:pPr>
            <w:r w:rsidRPr="004513D0">
              <w:t>80</w:t>
            </w:r>
          </w:p>
        </w:tc>
        <w:tc>
          <w:tcPr>
            <w:tcW w:w="2492" w:type="dxa"/>
            <w:shd w:val="clear" w:color="auto" w:fill="auto"/>
            <w:vAlign w:val="center"/>
          </w:tcPr>
          <w:p w14:paraId="77692369" w14:textId="77777777" w:rsidR="002A69E3" w:rsidRPr="004513D0" w:rsidRDefault="00424D15">
            <w:pPr>
              <w:widowControl/>
              <w:ind w:firstLine="120"/>
              <w:jc w:val="left"/>
            </w:pPr>
            <w:r w:rsidRPr="004513D0">
              <w:t>18ヶ月以上のMR5.0</w:t>
            </w:r>
          </w:p>
        </w:tc>
        <w:tc>
          <w:tcPr>
            <w:tcW w:w="2552" w:type="dxa"/>
            <w:shd w:val="clear" w:color="auto" w:fill="auto"/>
            <w:tcMar>
              <w:left w:w="142" w:type="dxa"/>
            </w:tcMar>
            <w:vAlign w:val="center"/>
          </w:tcPr>
          <w:p w14:paraId="17805E72" w14:textId="77777777" w:rsidR="002A69E3" w:rsidRPr="004513D0" w:rsidRDefault="00424D15">
            <w:pPr>
              <w:widowControl/>
              <w:jc w:val="center"/>
            </w:pPr>
            <w:r w:rsidRPr="004513D0">
              <w:t>MMR消失</w:t>
            </w:r>
          </w:p>
        </w:tc>
        <w:tc>
          <w:tcPr>
            <w:tcW w:w="1842" w:type="dxa"/>
            <w:shd w:val="clear" w:color="auto" w:fill="auto"/>
            <w:vAlign w:val="center"/>
          </w:tcPr>
          <w:p w14:paraId="32B3F316" w14:textId="77A20882" w:rsidR="002A69E3" w:rsidRPr="004513D0" w:rsidRDefault="00424D15">
            <w:pPr>
              <w:widowControl/>
              <w:jc w:val="center"/>
            </w:pPr>
            <w:r w:rsidRPr="004513D0">
              <w:t>36ヶ月時61</w:t>
            </w:r>
            <w:r w:rsidR="00722038" w:rsidRPr="004513D0">
              <w:t>％</w:t>
            </w:r>
          </w:p>
        </w:tc>
      </w:tr>
      <w:tr w:rsidR="002A69E3" w:rsidRPr="004513D0" w14:paraId="6AD8F5CD" w14:textId="77777777" w:rsidTr="005B56A4">
        <w:trPr>
          <w:trHeight w:val="160"/>
        </w:trPr>
        <w:tc>
          <w:tcPr>
            <w:tcW w:w="2672" w:type="dxa"/>
            <w:shd w:val="clear" w:color="auto" w:fill="auto"/>
            <w:vAlign w:val="center"/>
          </w:tcPr>
          <w:p w14:paraId="4BFC9BC4" w14:textId="57F7A651" w:rsidR="002A69E3" w:rsidRPr="004513D0" w:rsidRDefault="00424D15" w:rsidP="002351AD">
            <w:pPr>
              <w:widowControl/>
              <w:jc w:val="left"/>
            </w:pPr>
            <w:r w:rsidRPr="004513D0">
              <w:t>ISAV study (2015)</w:t>
            </w:r>
            <w:r w:rsidR="002351AD">
              <w:rPr>
                <w:rFonts w:hint="eastAsia"/>
                <w:vertAlign w:val="superscript"/>
              </w:rPr>
              <w:t>29</w:t>
            </w:r>
          </w:p>
        </w:tc>
        <w:tc>
          <w:tcPr>
            <w:tcW w:w="643" w:type="dxa"/>
            <w:shd w:val="clear" w:color="auto" w:fill="auto"/>
            <w:vAlign w:val="center"/>
          </w:tcPr>
          <w:p w14:paraId="34F09169" w14:textId="77777777" w:rsidR="002A69E3" w:rsidRPr="004513D0" w:rsidRDefault="00424D15">
            <w:pPr>
              <w:widowControl/>
              <w:jc w:val="center"/>
            </w:pPr>
            <w:r w:rsidRPr="004513D0">
              <w:t>108</w:t>
            </w:r>
          </w:p>
        </w:tc>
        <w:tc>
          <w:tcPr>
            <w:tcW w:w="2492" w:type="dxa"/>
            <w:shd w:val="clear" w:color="auto" w:fill="auto"/>
            <w:vAlign w:val="center"/>
          </w:tcPr>
          <w:p w14:paraId="0C072F81" w14:textId="77777777" w:rsidR="002A69E3" w:rsidRPr="004513D0" w:rsidRDefault="00424D15">
            <w:pPr>
              <w:widowControl/>
              <w:ind w:firstLine="120"/>
              <w:jc w:val="left"/>
            </w:pPr>
            <w:r w:rsidRPr="004513D0">
              <w:t xml:space="preserve">2年以上のCMR </w:t>
            </w:r>
          </w:p>
        </w:tc>
        <w:tc>
          <w:tcPr>
            <w:tcW w:w="2552" w:type="dxa"/>
            <w:shd w:val="clear" w:color="auto" w:fill="auto"/>
            <w:tcMar>
              <w:left w:w="142" w:type="dxa"/>
            </w:tcMar>
            <w:vAlign w:val="center"/>
          </w:tcPr>
          <w:p w14:paraId="0AB630D9" w14:textId="77777777" w:rsidR="002A69E3" w:rsidRPr="004513D0" w:rsidRDefault="00424D15">
            <w:pPr>
              <w:widowControl/>
              <w:jc w:val="center"/>
            </w:pPr>
            <w:r w:rsidRPr="004513D0">
              <w:t>MMR消失</w:t>
            </w:r>
          </w:p>
        </w:tc>
        <w:tc>
          <w:tcPr>
            <w:tcW w:w="1842" w:type="dxa"/>
            <w:shd w:val="clear" w:color="auto" w:fill="auto"/>
            <w:vAlign w:val="center"/>
          </w:tcPr>
          <w:p w14:paraId="0A7CA52A" w14:textId="1E2D62E8" w:rsidR="002A69E3" w:rsidRPr="004513D0" w:rsidRDefault="00424D15">
            <w:pPr>
              <w:widowControl/>
              <w:jc w:val="center"/>
            </w:pPr>
            <w:r w:rsidRPr="004513D0">
              <w:t>36ヶ月時52</w:t>
            </w:r>
            <w:r w:rsidR="00722038" w:rsidRPr="004513D0">
              <w:t>％</w:t>
            </w:r>
          </w:p>
        </w:tc>
      </w:tr>
      <w:tr w:rsidR="002A69E3" w:rsidRPr="004513D0" w14:paraId="32A8D57C" w14:textId="77777777" w:rsidTr="005B56A4">
        <w:trPr>
          <w:trHeight w:val="100"/>
        </w:trPr>
        <w:tc>
          <w:tcPr>
            <w:tcW w:w="2672" w:type="dxa"/>
            <w:shd w:val="clear" w:color="auto" w:fill="auto"/>
            <w:vAlign w:val="center"/>
          </w:tcPr>
          <w:p w14:paraId="205AA67F" w14:textId="52B4517C" w:rsidR="002A69E3" w:rsidRPr="004513D0" w:rsidRDefault="00424D15">
            <w:pPr>
              <w:widowControl/>
              <w:jc w:val="left"/>
            </w:pPr>
            <w:r w:rsidRPr="004513D0">
              <w:t>KID study (2016)</w:t>
            </w:r>
            <w:r w:rsidRPr="004513D0">
              <w:rPr>
                <w:vertAlign w:val="superscript"/>
              </w:rPr>
              <w:t>3</w:t>
            </w:r>
            <w:r w:rsidR="002351AD">
              <w:rPr>
                <w:rFonts w:hint="eastAsia"/>
                <w:vertAlign w:val="superscript"/>
              </w:rPr>
              <w:t>0</w:t>
            </w:r>
          </w:p>
        </w:tc>
        <w:tc>
          <w:tcPr>
            <w:tcW w:w="643" w:type="dxa"/>
            <w:shd w:val="clear" w:color="auto" w:fill="auto"/>
            <w:vAlign w:val="center"/>
          </w:tcPr>
          <w:p w14:paraId="50B214B3" w14:textId="77777777" w:rsidR="002A69E3" w:rsidRPr="004513D0" w:rsidRDefault="00424D15">
            <w:pPr>
              <w:widowControl/>
              <w:jc w:val="center"/>
            </w:pPr>
            <w:r w:rsidRPr="004513D0">
              <w:t>90</w:t>
            </w:r>
          </w:p>
        </w:tc>
        <w:tc>
          <w:tcPr>
            <w:tcW w:w="2492" w:type="dxa"/>
            <w:shd w:val="clear" w:color="auto" w:fill="auto"/>
            <w:vAlign w:val="center"/>
          </w:tcPr>
          <w:p w14:paraId="5AD10A91"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tcPr>
          <w:p w14:paraId="208F39F7" w14:textId="77777777" w:rsidR="002A69E3" w:rsidRPr="004513D0" w:rsidRDefault="00424D15">
            <w:pPr>
              <w:widowControl/>
              <w:jc w:val="center"/>
            </w:pPr>
            <w:r w:rsidRPr="004513D0">
              <w:t>MMR消失</w:t>
            </w:r>
          </w:p>
        </w:tc>
        <w:tc>
          <w:tcPr>
            <w:tcW w:w="1842" w:type="dxa"/>
            <w:shd w:val="clear" w:color="auto" w:fill="auto"/>
            <w:vAlign w:val="center"/>
          </w:tcPr>
          <w:p w14:paraId="31AF71AD" w14:textId="4E38258A" w:rsidR="002A69E3" w:rsidRPr="004513D0" w:rsidRDefault="00424D15">
            <w:pPr>
              <w:widowControl/>
              <w:jc w:val="center"/>
            </w:pPr>
            <w:r w:rsidRPr="004513D0">
              <w:t>24ヶ月時59</w:t>
            </w:r>
            <w:r w:rsidR="00722038" w:rsidRPr="004513D0">
              <w:t>％</w:t>
            </w:r>
          </w:p>
        </w:tc>
      </w:tr>
      <w:tr w:rsidR="002A69E3" w:rsidRPr="004513D0" w14:paraId="0EB0B825" w14:textId="77777777" w:rsidTr="005B56A4">
        <w:trPr>
          <w:trHeight w:val="320"/>
        </w:trPr>
        <w:tc>
          <w:tcPr>
            <w:tcW w:w="2672" w:type="dxa"/>
            <w:shd w:val="clear" w:color="auto" w:fill="auto"/>
            <w:vAlign w:val="center"/>
          </w:tcPr>
          <w:p w14:paraId="1212D582" w14:textId="6AA6D6A3" w:rsidR="002A69E3" w:rsidRPr="004513D0" w:rsidRDefault="00424D15">
            <w:pPr>
              <w:widowControl/>
              <w:jc w:val="left"/>
            </w:pPr>
            <w:r w:rsidRPr="004513D0">
              <w:t>Stop2G-TKI (2017)</w:t>
            </w:r>
            <w:r w:rsidRPr="004513D0">
              <w:rPr>
                <w:vertAlign w:val="superscript"/>
              </w:rPr>
              <w:t>3</w:t>
            </w:r>
            <w:r w:rsidR="002351AD">
              <w:rPr>
                <w:rFonts w:hint="eastAsia"/>
                <w:vertAlign w:val="superscript"/>
              </w:rPr>
              <w:t>1</w:t>
            </w:r>
          </w:p>
        </w:tc>
        <w:tc>
          <w:tcPr>
            <w:tcW w:w="643" w:type="dxa"/>
            <w:shd w:val="clear" w:color="auto" w:fill="auto"/>
            <w:vAlign w:val="center"/>
          </w:tcPr>
          <w:p w14:paraId="77959F6F" w14:textId="77777777" w:rsidR="002A69E3" w:rsidRPr="004513D0" w:rsidRDefault="00424D15">
            <w:pPr>
              <w:widowControl/>
              <w:jc w:val="center"/>
            </w:pPr>
            <w:r w:rsidRPr="004513D0">
              <w:t>60</w:t>
            </w:r>
          </w:p>
        </w:tc>
        <w:tc>
          <w:tcPr>
            <w:tcW w:w="2492" w:type="dxa"/>
            <w:shd w:val="clear" w:color="auto" w:fill="auto"/>
            <w:vAlign w:val="center"/>
          </w:tcPr>
          <w:p w14:paraId="421262E7" w14:textId="77777777" w:rsidR="002A69E3" w:rsidRPr="004513D0" w:rsidRDefault="00424D15">
            <w:pPr>
              <w:widowControl/>
              <w:ind w:firstLine="120"/>
              <w:jc w:val="left"/>
            </w:pPr>
            <w:r w:rsidRPr="004513D0">
              <w:t xml:space="preserve">2年以上のMR4.5 </w:t>
            </w:r>
          </w:p>
        </w:tc>
        <w:tc>
          <w:tcPr>
            <w:tcW w:w="2552" w:type="dxa"/>
            <w:shd w:val="clear" w:color="auto" w:fill="auto"/>
            <w:tcMar>
              <w:left w:w="142" w:type="dxa"/>
            </w:tcMar>
          </w:tcPr>
          <w:p w14:paraId="5669223D" w14:textId="77777777" w:rsidR="002A69E3" w:rsidRPr="004513D0" w:rsidRDefault="00424D15">
            <w:pPr>
              <w:widowControl/>
              <w:jc w:val="center"/>
            </w:pPr>
            <w:r w:rsidRPr="004513D0">
              <w:t>MMR消失</w:t>
            </w:r>
          </w:p>
        </w:tc>
        <w:tc>
          <w:tcPr>
            <w:tcW w:w="1842" w:type="dxa"/>
            <w:shd w:val="clear" w:color="auto" w:fill="auto"/>
            <w:vAlign w:val="center"/>
          </w:tcPr>
          <w:p w14:paraId="1A5374B3" w14:textId="5B04EF01" w:rsidR="002A69E3" w:rsidRPr="004513D0" w:rsidRDefault="00424D15">
            <w:pPr>
              <w:widowControl/>
              <w:jc w:val="center"/>
            </w:pPr>
            <w:r w:rsidRPr="004513D0">
              <w:t>48ヶ月時54</w:t>
            </w:r>
            <w:r w:rsidR="00722038" w:rsidRPr="004513D0">
              <w:t>％</w:t>
            </w:r>
          </w:p>
        </w:tc>
      </w:tr>
      <w:tr w:rsidR="002A69E3" w:rsidRPr="004513D0" w14:paraId="63EEEEBC" w14:textId="77777777" w:rsidTr="005B56A4">
        <w:trPr>
          <w:trHeight w:val="100"/>
        </w:trPr>
        <w:tc>
          <w:tcPr>
            <w:tcW w:w="2672" w:type="dxa"/>
            <w:shd w:val="clear" w:color="auto" w:fill="auto"/>
            <w:vAlign w:val="center"/>
          </w:tcPr>
          <w:p w14:paraId="2C951100" w14:textId="1D852E31" w:rsidR="002A69E3" w:rsidRPr="004513D0" w:rsidRDefault="00424D15">
            <w:pPr>
              <w:widowControl/>
              <w:jc w:val="left"/>
            </w:pPr>
            <w:r w:rsidRPr="004513D0">
              <w:t>ENESTFreedom (2018)</w:t>
            </w:r>
            <w:r w:rsidRPr="004513D0">
              <w:rPr>
                <w:vertAlign w:val="superscript"/>
              </w:rPr>
              <w:t>3</w:t>
            </w:r>
            <w:r w:rsidR="002351AD">
              <w:rPr>
                <w:rFonts w:hint="eastAsia"/>
                <w:vertAlign w:val="superscript"/>
              </w:rPr>
              <w:t>2</w:t>
            </w:r>
          </w:p>
        </w:tc>
        <w:tc>
          <w:tcPr>
            <w:tcW w:w="643" w:type="dxa"/>
            <w:shd w:val="clear" w:color="auto" w:fill="auto"/>
            <w:vAlign w:val="center"/>
          </w:tcPr>
          <w:p w14:paraId="6DB9F142" w14:textId="77777777" w:rsidR="002A69E3" w:rsidRPr="004513D0" w:rsidRDefault="00424D15">
            <w:pPr>
              <w:widowControl/>
              <w:jc w:val="center"/>
            </w:pPr>
            <w:r w:rsidRPr="004513D0">
              <w:t>190</w:t>
            </w:r>
          </w:p>
        </w:tc>
        <w:tc>
          <w:tcPr>
            <w:tcW w:w="2492" w:type="dxa"/>
            <w:shd w:val="clear" w:color="auto" w:fill="auto"/>
            <w:vAlign w:val="center"/>
          </w:tcPr>
          <w:p w14:paraId="11695D07" w14:textId="77777777" w:rsidR="002A69E3" w:rsidRPr="004513D0" w:rsidRDefault="00424D15">
            <w:pPr>
              <w:widowControl/>
              <w:ind w:firstLine="120"/>
              <w:jc w:val="left"/>
            </w:pPr>
            <w:r w:rsidRPr="004513D0">
              <w:t xml:space="preserve">1年以上のMR4.5 </w:t>
            </w:r>
          </w:p>
        </w:tc>
        <w:tc>
          <w:tcPr>
            <w:tcW w:w="2552" w:type="dxa"/>
            <w:shd w:val="clear" w:color="auto" w:fill="auto"/>
            <w:tcMar>
              <w:left w:w="142" w:type="dxa"/>
            </w:tcMar>
          </w:tcPr>
          <w:p w14:paraId="12228653" w14:textId="77777777" w:rsidR="002A69E3" w:rsidRPr="004513D0" w:rsidRDefault="00424D15">
            <w:pPr>
              <w:widowControl/>
              <w:jc w:val="center"/>
            </w:pPr>
            <w:r w:rsidRPr="004513D0">
              <w:t>MMR消失</w:t>
            </w:r>
          </w:p>
        </w:tc>
        <w:tc>
          <w:tcPr>
            <w:tcW w:w="1842" w:type="dxa"/>
            <w:shd w:val="clear" w:color="auto" w:fill="auto"/>
            <w:vAlign w:val="center"/>
          </w:tcPr>
          <w:p w14:paraId="5187DB25" w14:textId="6751EB54" w:rsidR="002A69E3" w:rsidRPr="004513D0" w:rsidRDefault="00424D15">
            <w:pPr>
              <w:widowControl/>
              <w:jc w:val="center"/>
            </w:pPr>
            <w:r w:rsidRPr="004513D0">
              <w:t>96ヶ月時49</w:t>
            </w:r>
            <w:r w:rsidR="00722038" w:rsidRPr="004513D0">
              <w:t>％</w:t>
            </w:r>
          </w:p>
        </w:tc>
      </w:tr>
      <w:tr w:rsidR="002A69E3" w:rsidRPr="004513D0" w14:paraId="4C33BF04" w14:textId="77777777" w:rsidTr="005B56A4">
        <w:trPr>
          <w:trHeight w:val="100"/>
        </w:trPr>
        <w:tc>
          <w:tcPr>
            <w:tcW w:w="2672" w:type="dxa"/>
            <w:shd w:val="clear" w:color="auto" w:fill="auto"/>
            <w:vAlign w:val="center"/>
          </w:tcPr>
          <w:p w14:paraId="60498966" w14:textId="1949D4C3" w:rsidR="002A69E3" w:rsidRPr="004513D0" w:rsidRDefault="00424D15">
            <w:pPr>
              <w:widowControl/>
              <w:jc w:val="left"/>
            </w:pPr>
            <w:r w:rsidRPr="004513D0">
              <w:lastRenderedPageBreak/>
              <w:t>ENESTop study (2018)</w:t>
            </w:r>
            <w:r w:rsidRPr="004513D0">
              <w:rPr>
                <w:vertAlign w:val="superscript"/>
              </w:rPr>
              <w:t>3</w:t>
            </w:r>
            <w:r w:rsidR="002351AD">
              <w:rPr>
                <w:rFonts w:hint="eastAsia"/>
                <w:vertAlign w:val="superscript"/>
              </w:rPr>
              <w:t>3</w:t>
            </w:r>
          </w:p>
        </w:tc>
        <w:tc>
          <w:tcPr>
            <w:tcW w:w="643" w:type="dxa"/>
            <w:shd w:val="clear" w:color="auto" w:fill="auto"/>
            <w:vAlign w:val="center"/>
          </w:tcPr>
          <w:p w14:paraId="0028E580" w14:textId="77777777" w:rsidR="002A69E3" w:rsidRPr="004513D0" w:rsidRDefault="00424D15">
            <w:pPr>
              <w:widowControl/>
              <w:jc w:val="center"/>
            </w:pPr>
            <w:r w:rsidRPr="004513D0">
              <w:t>126</w:t>
            </w:r>
          </w:p>
        </w:tc>
        <w:tc>
          <w:tcPr>
            <w:tcW w:w="2492" w:type="dxa"/>
            <w:shd w:val="clear" w:color="auto" w:fill="auto"/>
            <w:vAlign w:val="center"/>
          </w:tcPr>
          <w:p w14:paraId="3BF91201" w14:textId="77777777" w:rsidR="002A69E3" w:rsidRPr="004513D0" w:rsidRDefault="00424D15">
            <w:pPr>
              <w:widowControl/>
              <w:ind w:firstLine="120"/>
              <w:jc w:val="left"/>
            </w:pPr>
            <w:r w:rsidRPr="004513D0">
              <w:t>1年以上のMR4.5</w:t>
            </w:r>
          </w:p>
        </w:tc>
        <w:tc>
          <w:tcPr>
            <w:tcW w:w="2552" w:type="dxa"/>
            <w:shd w:val="clear" w:color="auto" w:fill="auto"/>
            <w:tcMar>
              <w:left w:w="142" w:type="dxa"/>
            </w:tcMar>
          </w:tcPr>
          <w:p w14:paraId="5D34742C" w14:textId="77777777" w:rsidR="002A69E3" w:rsidRPr="004513D0" w:rsidRDefault="00424D15">
            <w:pPr>
              <w:widowControl/>
              <w:jc w:val="center"/>
            </w:pPr>
            <w:r w:rsidRPr="004513D0">
              <w:t>MMR消失</w:t>
            </w:r>
          </w:p>
        </w:tc>
        <w:tc>
          <w:tcPr>
            <w:tcW w:w="1842" w:type="dxa"/>
            <w:shd w:val="clear" w:color="auto" w:fill="auto"/>
            <w:vAlign w:val="center"/>
          </w:tcPr>
          <w:p w14:paraId="4059B2F9" w14:textId="4CBDD9EB" w:rsidR="002A69E3" w:rsidRPr="004513D0" w:rsidRDefault="00424D15">
            <w:pPr>
              <w:widowControl/>
              <w:jc w:val="center"/>
            </w:pPr>
            <w:r w:rsidRPr="004513D0">
              <w:t>96ヶ月時53</w:t>
            </w:r>
            <w:r w:rsidR="00722038" w:rsidRPr="004513D0">
              <w:t>％</w:t>
            </w:r>
          </w:p>
        </w:tc>
      </w:tr>
      <w:tr w:rsidR="002A69E3" w:rsidRPr="004513D0" w14:paraId="7B6A11E4" w14:textId="77777777" w:rsidTr="005B56A4">
        <w:trPr>
          <w:trHeight w:val="40"/>
        </w:trPr>
        <w:tc>
          <w:tcPr>
            <w:tcW w:w="2672" w:type="dxa"/>
            <w:shd w:val="clear" w:color="auto" w:fill="auto"/>
            <w:vAlign w:val="center"/>
          </w:tcPr>
          <w:p w14:paraId="7833DE02" w14:textId="4073F0D7" w:rsidR="002A69E3" w:rsidRPr="004513D0" w:rsidRDefault="00424D15">
            <w:pPr>
              <w:widowControl/>
              <w:jc w:val="left"/>
            </w:pPr>
            <w:r w:rsidRPr="004513D0">
              <w:t>EUO-SKI (2018)</w:t>
            </w:r>
            <w:r w:rsidR="002351AD">
              <w:rPr>
                <w:rFonts w:hint="eastAsia"/>
                <w:vertAlign w:val="superscript"/>
              </w:rPr>
              <w:t>5</w:t>
            </w:r>
          </w:p>
        </w:tc>
        <w:tc>
          <w:tcPr>
            <w:tcW w:w="643" w:type="dxa"/>
            <w:shd w:val="clear" w:color="auto" w:fill="auto"/>
            <w:vAlign w:val="center"/>
          </w:tcPr>
          <w:p w14:paraId="78D8DF98" w14:textId="77777777" w:rsidR="002A69E3" w:rsidRPr="004513D0" w:rsidRDefault="00424D15">
            <w:pPr>
              <w:widowControl/>
              <w:jc w:val="center"/>
            </w:pPr>
            <w:r w:rsidRPr="004513D0">
              <w:t>758</w:t>
            </w:r>
          </w:p>
        </w:tc>
        <w:tc>
          <w:tcPr>
            <w:tcW w:w="2492" w:type="dxa"/>
            <w:shd w:val="clear" w:color="auto" w:fill="auto"/>
            <w:vAlign w:val="center"/>
          </w:tcPr>
          <w:p w14:paraId="3306C793" w14:textId="77777777" w:rsidR="002A69E3" w:rsidRPr="004513D0" w:rsidRDefault="00424D15">
            <w:pPr>
              <w:widowControl/>
              <w:ind w:firstLine="120"/>
              <w:jc w:val="left"/>
            </w:pPr>
            <w:r w:rsidRPr="004513D0">
              <w:t>1年以上のMR4.0</w:t>
            </w:r>
          </w:p>
        </w:tc>
        <w:tc>
          <w:tcPr>
            <w:tcW w:w="2552" w:type="dxa"/>
            <w:shd w:val="clear" w:color="auto" w:fill="auto"/>
            <w:tcMar>
              <w:left w:w="142" w:type="dxa"/>
            </w:tcMar>
            <w:vAlign w:val="center"/>
          </w:tcPr>
          <w:p w14:paraId="262327E6" w14:textId="77777777" w:rsidR="002A69E3" w:rsidRPr="004513D0" w:rsidRDefault="00424D15">
            <w:pPr>
              <w:widowControl/>
              <w:jc w:val="center"/>
            </w:pPr>
            <w:r w:rsidRPr="004513D0">
              <w:t>MMR消失</w:t>
            </w:r>
          </w:p>
        </w:tc>
        <w:tc>
          <w:tcPr>
            <w:tcW w:w="1842" w:type="dxa"/>
            <w:shd w:val="clear" w:color="auto" w:fill="auto"/>
            <w:vAlign w:val="center"/>
          </w:tcPr>
          <w:p w14:paraId="2DBE5FB3" w14:textId="2A5DF57F" w:rsidR="002A69E3" w:rsidRPr="004513D0" w:rsidRDefault="00424D15">
            <w:pPr>
              <w:widowControl/>
              <w:jc w:val="center"/>
            </w:pPr>
            <w:r w:rsidRPr="004513D0">
              <w:t>24ヶ月時50</w:t>
            </w:r>
            <w:r w:rsidR="00722038" w:rsidRPr="004513D0">
              <w:t>％</w:t>
            </w:r>
          </w:p>
        </w:tc>
      </w:tr>
      <w:tr w:rsidR="002A69E3" w:rsidRPr="004513D0" w14:paraId="60279410" w14:textId="77777777" w:rsidTr="005B56A4">
        <w:trPr>
          <w:trHeight w:val="40"/>
        </w:trPr>
        <w:tc>
          <w:tcPr>
            <w:tcW w:w="10201" w:type="dxa"/>
            <w:gridSpan w:val="5"/>
            <w:shd w:val="clear" w:color="auto" w:fill="auto"/>
            <w:vAlign w:val="center"/>
          </w:tcPr>
          <w:p w14:paraId="2F3D5D0D" w14:textId="77777777" w:rsidR="002A69E3" w:rsidRPr="004513D0" w:rsidRDefault="00424D15">
            <w:pPr>
              <w:widowControl/>
              <w:jc w:val="left"/>
            </w:pPr>
            <w:r w:rsidRPr="004513D0">
              <w:rPr>
                <w:b/>
                <w:i/>
              </w:rPr>
              <w:t>Japanese population</w:t>
            </w:r>
          </w:p>
        </w:tc>
      </w:tr>
      <w:tr w:rsidR="002A69E3" w:rsidRPr="004513D0" w14:paraId="0F66A039" w14:textId="77777777" w:rsidTr="005B56A4">
        <w:trPr>
          <w:trHeight w:val="440"/>
        </w:trPr>
        <w:tc>
          <w:tcPr>
            <w:tcW w:w="2672" w:type="dxa"/>
            <w:shd w:val="clear" w:color="auto" w:fill="auto"/>
            <w:vAlign w:val="center"/>
          </w:tcPr>
          <w:p w14:paraId="69680992" w14:textId="3AEB4431" w:rsidR="002A69E3" w:rsidRPr="004513D0" w:rsidRDefault="00424D15">
            <w:pPr>
              <w:widowControl/>
              <w:jc w:val="left"/>
            </w:pPr>
            <w:r w:rsidRPr="004513D0">
              <w:t>KEIO STIM (2012)</w:t>
            </w:r>
            <w:r w:rsidR="002351AD">
              <w:rPr>
                <w:rFonts w:hint="eastAsia"/>
                <w:vertAlign w:val="superscript"/>
              </w:rPr>
              <w:t>6</w:t>
            </w:r>
          </w:p>
        </w:tc>
        <w:tc>
          <w:tcPr>
            <w:tcW w:w="643" w:type="dxa"/>
            <w:shd w:val="clear" w:color="auto" w:fill="auto"/>
            <w:vAlign w:val="center"/>
          </w:tcPr>
          <w:p w14:paraId="5744051F" w14:textId="77777777" w:rsidR="002A69E3" w:rsidRPr="004513D0" w:rsidRDefault="00424D15">
            <w:pPr>
              <w:widowControl/>
              <w:jc w:val="center"/>
            </w:pPr>
            <w:r w:rsidRPr="004513D0">
              <w:t>41</w:t>
            </w:r>
          </w:p>
        </w:tc>
        <w:tc>
          <w:tcPr>
            <w:tcW w:w="2492" w:type="dxa"/>
            <w:shd w:val="clear" w:color="auto" w:fill="auto"/>
            <w:vAlign w:val="center"/>
          </w:tcPr>
          <w:p w14:paraId="6785635B" w14:textId="77777777" w:rsidR="002A69E3" w:rsidRPr="004513D0" w:rsidRDefault="00424D15">
            <w:pPr>
              <w:widowControl/>
              <w:ind w:firstLine="120"/>
              <w:jc w:val="left"/>
            </w:pPr>
            <w:r w:rsidRPr="004513D0">
              <w:t>2年以上のCMR</w:t>
            </w:r>
          </w:p>
        </w:tc>
        <w:tc>
          <w:tcPr>
            <w:tcW w:w="2552" w:type="dxa"/>
            <w:shd w:val="clear" w:color="auto" w:fill="auto"/>
            <w:tcMar>
              <w:left w:w="113" w:type="dxa"/>
            </w:tcMar>
            <w:vAlign w:val="center"/>
          </w:tcPr>
          <w:p w14:paraId="034185E2" w14:textId="77777777" w:rsidR="002A69E3" w:rsidRPr="004513D0" w:rsidRDefault="00424D15">
            <w:pPr>
              <w:widowControl/>
              <w:jc w:val="left"/>
            </w:pPr>
            <w:r w:rsidRPr="004513D0">
              <w:t>Amp-CML≥100 copies</w:t>
            </w:r>
          </w:p>
        </w:tc>
        <w:tc>
          <w:tcPr>
            <w:tcW w:w="1842" w:type="dxa"/>
            <w:shd w:val="clear" w:color="auto" w:fill="auto"/>
            <w:vAlign w:val="center"/>
          </w:tcPr>
          <w:p w14:paraId="03B9F131" w14:textId="719FDCE7" w:rsidR="002A69E3" w:rsidRPr="004513D0" w:rsidRDefault="00424D15">
            <w:pPr>
              <w:widowControl/>
              <w:jc w:val="center"/>
            </w:pPr>
            <w:r w:rsidRPr="004513D0">
              <w:t>12ヶ月時55</w:t>
            </w:r>
            <w:r w:rsidR="00722038" w:rsidRPr="004513D0">
              <w:t>％</w:t>
            </w:r>
          </w:p>
        </w:tc>
      </w:tr>
      <w:tr w:rsidR="002A69E3" w:rsidRPr="004513D0" w14:paraId="7F682EB0" w14:textId="77777777" w:rsidTr="005B56A4">
        <w:trPr>
          <w:trHeight w:val="40"/>
        </w:trPr>
        <w:tc>
          <w:tcPr>
            <w:tcW w:w="2672" w:type="dxa"/>
            <w:shd w:val="clear" w:color="auto" w:fill="auto"/>
            <w:vAlign w:val="center"/>
          </w:tcPr>
          <w:p w14:paraId="6F1D76BF" w14:textId="6EA3EEB4" w:rsidR="002A69E3" w:rsidRPr="004513D0" w:rsidRDefault="00424D15">
            <w:pPr>
              <w:widowControl/>
              <w:jc w:val="left"/>
            </w:pPr>
            <w:r w:rsidRPr="004513D0">
              <w:t>Nilst　(2016)</w:t>
            </w:r>
            <w:r w:rsidRPr="004513D0">
              <w:rPr>
                <w:vertAlign w:val="superscript"/>
              </w:rPr>
              <w:t>1</w:t>
            </w:r>
            <w:r w:rsidR="002351AD">
              <w:rPr>
                <w:rFonts w:hint="eastAsia"/>
                <w:vertAlign w:val="superscript"/>
              </w:rPr>
              <w:t>1</w:t>
            </w:r>
          </w:p>
        </w:tc>
        <w:tc>
          <w:tcPr>
            <w:tcW w:w="643" w:type="dxa"/>
            <w:shd w:val="clear" w:color="auto" w:fill="auto"/>
            <w:vAlign w:val="center"/>
          </w:tcPr>
          <w:p w14:paraId="58617C5A" w14:textId="77777777" w:rsidR="002A69E3" w:rsidRPr="004513D0" w:rsidRDefault="00424D15">
            <w:pPr>
              <w:widowControl/>
              <w:jc w:val="center"/>
            </w:pPr>
            <w:r w:rsidRPr="004513D0">
              <w:t>87</w:t>
            </w:r>
          </w:p>
        </w:tc>
        <w:tc>
          <w:tcPr>
            <w:tcW w:w="2492" w:type="dxa"/>
            <w:shd w:val="clear" w:color="auto" w:fill="auto"/>
            <w:vAlign w:val="center"/>
          </w:tcPr>
          <w:p w14:paraId="2EEC6DC6"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vAlign w:val="center"/>
          </w:tcPr>
          <w:p w14:paraId="3F3C200B" w14:textId="77777777" w:rsidR="002A69E3" w:rsidRPr="004513D0" w:rsidRDefault="00424D15">
            <w:pPr>
              <w:widowControl/>
              <w:jc w:val="center"/>
            </w:pPr>
            <w:r w:rsidRPr="004513D0">
              <w:t>MR4.5消失</w:t>
            </w:r>
          </w:p>
        </w:tc>
        <w:tc>
          <w:tcPr>
            <w:tcW w:w="1842" w:type="dxa"/>
            <w:shd w:val="clear" w:color="auto" w:fill="auto"/>
            <w:vAlign w:val="center"/>
          </w:tcPr>
          <w:p w14:paraId="00A61B0B" w14:textId="1CEA8CF8" w:rsidR="002A69E3" w:rsidRPr="004513D0" w:rsidRDefault="00424D15">
            <w:pPr>
              <w:widowControl/>
              <w:jc w:val="center"/>
            </w:pPr>
            <w:r w:rsidRPr="004513D0">
              <w:t>12ヶ月時61</w:t>
            </w:r>
            <w:r w:rsidR="00722038" w:rsidRPr="004513D0">
              <w:t>％</w:t>
            </w:r>
          </w:p>
        </w:tc>
      </w:tr>
      <w:tr w:rsidR="002A69E3" w:rsidRPr="004513D0" w14:paraId="1BDAFF14" w14:textId="77777777" w:rsidTr="005B56A4">
        <w:trPr>
          <w:trHeight w:val="40"/>
        </w:trPr>
        <w:tc>
          <w:tcPr>
            <w:tcW w:w="2672" w:type="dxa"/>
            <w:shd w:val="clear" w:color="auto" w:fill="auto"/>
            <w:vAlign w:val="center"/>
          </w:tcPr>
          <w:p w14:paraId="5AD410E5" w14:textId="5DB1FB7C" w:rsidR="002A69E3" w:rsidRPr="004513D0" w:rsidRDefault="00424D15">
            <w:pPr>
              <w:widowControl/>
              <w:jc w:val="left"/>
            </w:pPr>
            <w:r w:rsidRPr="004513D0">
              <w:t>JALSG-STIM213 (2018)</w:t>
            </w:r>
            <w:r w:rsidR="002351AD">
              <w:rPr>
                <w:rFonts w:hint="eastAsia"/>
                <w:vertAlign w:val="superscript"/>
              </w:rPr>
              <w:t>8</w:t>
            </w:r>
          </w:p>
        </w:tc>
        <w:tc>
          <w:tcPr>
            <w:tcW w:w="643" w:type="dxa"/>
            <w:shd w:val="clear" w:color="auto" w:fill="auto"/>
            <w:vAlign w:val="center"/>
          </w:tcPr>
          <w:p w14:paraId="1499096B" w14:textId="77777777" w:rsidR="002A69E3" w:rsidRPr="004513D0" w:rsidRDefault="00424D15">
            <w:pPr>
              <w:widowControl/>
              <w:jc w:val="center"/>
            </w:pPr>
            <w:r w:rsidRPr="004513D0">
              <w:t>68</w:t>
            </w:r>
          </w:p>
        </w:tc>
        <w:tc>
          <w:tcPr>
            <w:tcW w:w="2492" w:type="dxa"/>
            <w:shd w:val="clear" w:color="auto" w:fill="auto"/>
            <w:vAlign w:val="center"/>
          </w:tcPr>
          <w:p w14:paraId="4E0B1ABF" w14:textId="77777777" w:rsidR="002A69E3" w:rsidRPr="004513D0" w:rsidRDefault="00424D15">
            <w:pPr>
              <w:widowControl/>
              <w:ind w:firstLine="120"/>
              <w:jc w:val="left"/>
            </w:pPr>
            <w:r w:rsidRPr="004513D0">
              <w:t>2年以上のCMR</w:t>
            </w:r>
          </w:p>
        </w:tc>
        <w:tc>
          <w:tcPr>
            <w:tcW w:w="2552" w:type="dxa"/>
            <w:shd w:val="clear" w:color="auto" w:fill="auto"/>
            <w:tcMar>
              <w:left w:w="142" w:type="dxa"/>
            </w:tcMar>
            <w:vAlign w:val="center"/>
          </w:tcPr>
          <w:p w14:paraId="1B0DF92A" w14:textId="77777777" w:rsidR="002A69E3" w:rsidRPr="004513D0" w:rsidRDefault="00424D15">
            <w:pPr>
              <w:widowControl/>
              <w:jc w:val="center"/>
            </w:pPr>
            <w:r w:rsidRPr="004513D0">
              <w:t>MMR消失</w:t>
            </w:r>
          </w:p>
        </w:tc>
        <w:tc>
          <w:tcPr>
            <w:tcW w:w="1842" w:type="dxa"/>
            <w:shd w:val="clear" w:color="auto" w:fill="auto"/>
            <w:vAlign w:val="center"/>
          </w:tcPr>
          <w:p w14:paraId="021C89B1" w14:textId="6D2ED417" w:rsidR="002A69E3" w:rsidRPr="004513D0" w:rsidRDefault="00424D15">
            <w:pPr>
              <w:widowControl/>
              <w:jc w:val="center"/>
            </w:pPr>
            <w:r w:rsidRPr="004513D0">
              <w:t>12ヶ月時68</w:t>
            </w:r>
            <w:r w:rsidR="00722038" w:rsidRPr="004513D0">
              <w:t>％</w:t>
            </w:r>
          </w:p>
        </w:tc>
      </w:tr>
      <w:tr w:rsidR="002A69E3" w:rsidRPr="004513D0" w14:paraId="23CFE095" w14:textId="77777777" w:rsidTr="005B56A4">
        <w:trPr>
          <w:trHeight w:val="40"/>
        </w:trPr>
        <w:tc>
          <w:tcPr>
            <w:tcW w:w="2672" w:type="dxa"/>
            <w:shd w:val="clear" w:color="auto" w:fill="auto"/>
            <w:vAlign w:val="center"/>
          </w:tcPr>
          <w:p w14:paraId="3B786973" w14:textId="5C53FB20" w:rsidR="002A69E3" w:rsidRPr="004513D0" w:rsidRDefault="00424D15">
            <w:pPr>
              <w:widowControl/>
              <w:jc w:val="left"/>
            </w:pPr>
            <w:r w:rsidRPr="004513D0">
              <w:t>DOMEST (2018)</w:t>
            </w:r>
            <w:r w:rsidR="002351AD">
              <w:rPr>
                <w:rFonts w:hint="eastAsia"/>
                <w:vertAlign w:val="superscript"/>
              </w:rPr>
              <w:t>9</w:t>
            </w:r>
          </w:p>
        </w:tc>
        <w:tc>
          <w:tcPr>
            <w:tcW w:w="643" w:type="dxa"/>
            <w:shd w:val="clear" w:color="auto" w:fill="auto"/>
            <w:vAlign w:val="center"/>
          </w:tcPr>
          <w:p w14:paraId="157240B0" w14:textId="77777777" w:rsidR="002A69E3" w:rsidRPr="004513D0" w:rsidRDefault="00424D15">
            <w:pPr>
              <w:widowControl/>
              <w:jc w:val="center"/>
            </w:pPr>
            <w:r w:rsidRPr="004513D0">
              <w:t>99</w:t>
            </w:r>
          </w:p>
        </w:tc>
        <w:tc>
          <w:tcPr>
            <w:tcW w:w="2492" w:type="dxa"/>
            <w:shd w:val="clear" w:color="auto" w:fill="auto"/>
            <w:vAlign w:val="center"/>
          </w:tcPr>
          <w:p w14:paraId="5B286698"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vAlign w:val="center"/>
          </w:tcPr>
          <w:p w14:paraId="37F4BA13" w14:textId="77777777" w:rsidR="002A69E3" w:rsidRPr="004513D0" w:rsidRDefault="00424D15">
            <w:pPr>
              <w:widowControl/>
              <w:jc w:val="center"/>
            </w:pPr>
            <w:r w:rsidRPr="004513D0">
              <w:t>MMR消失</w:t>
            </w:r>
          </w:p>
        </w:tc>
        <w:tc>
          <w:tcPr>
            <w:tcW w:w="1842" w:type="dxa"/>
            <w:shd w:val="clear" w:color="auto" w:fill="auto"/>
            <w:vAlign w:val="center"/>
          </w:tcPr>
          <w:p w14:paraId="4293311C" w14:textId="388B79EE" w:rsidR="002A69E3" w:rsidRPr="004513D0" w:rsidRDefault="00424D15">
            <w:pPr>
              <w:widowControl/>
              <w:jc w:val="center"/>
            </w:pPr>
            <w:r w:rsidRPr="004513D0">
              <w:t>24ヶ月時64</w:t>
            </w:r>
            <w:r w:rsidR="00722038" w:rsidRPr="004513D0">
              <w:t>％</w:t>
            </w:r>
          </w:p>
        </w:tc>
      </w:tr>
      <w:tr w:rsidR="002A69E3" w:rsidRPr="004513D0" w14:paraId="43C9198B" w14:textId="77777777" w:rsidTr="005B56A4">
        <w:trPr>
          <w:trHeight w:val="60"/>
        </w:trPr>
        <w:tc>
          <w:tcPr>
            <w:tcW w:w="2672" w:type="dxa"/>
            <w:shd w:val="clear" w:color="auto" w:fill="auto"/>
            <w:vAlign w:val="center"/>
          </w:tcPr>
          <w:p w14:paraId="78E76CB2" w14:textId="1CD5EDB8" w:rsidR="002A69E3" w:rsidRPr="004513D0" w:rsidRDefault="00424D15">
            <w:pPr>
              <w:widowControl/>
              <w:jc w:val="left"/>
            </w:pPr>
            <w:r w:rsidRPr="004513D0">
              <w:t>DADI (2018)</w:t>
            </w:r>
            <w:r w:rsidRPr="004513D0">
              <w:rPr>
                <w:vertAlign w:val="superscript"/>
              </w:rPr>
              <w:t>1</w:t>
            </w:r>
            <w:r w:rsidR="002351AD">
              <w:rPr>
                <w:rFonts w:hint="eastAsia"/>
                <w:vertAlign w:val="superscript"/>
              </w:rPr>
              <w:t>2</w:t>
            </w:r>
          </w:p>
        </w:tc>
        <w:tc>
          <w:tcPr>
            <w:tcW w:w="643" w:type="dxa"/>
            <w:shd w:val="clear" w:color="auto" w:fill="auto"/>
            <w:vAlign w:val="center"/>
          </w:tcPr>
          <w:p w14:paraId="6141EE2F" w14:textId="77777777" w:rsidR="002A69E3" w:rsidRPr="004513D0" w:rsidRDefault="00424D15">
            <w:pPr>
              <w:widowControl/>
              <w:jc w:val="center"/>
            </w:pPr>
            <w:r w:rsidRPr="004513D0">
              <w:t>63</w:t>
            </w:r>
          </w:p>
        </w:tc>
        <w:tc>
          <w:tcPr>
            <w:tcW w:w="2492" w:type="dxa"/>
            <w:shd w:val="clear" w:color="auto" w:fill="auto"/>
            <w:vAlign w:val="center"/>
          </w:tcPr>
          <w:p w14:paraId="395B754A" w14:textId="77777777" w:rsidR="002A69E3" w:rsidRPr="004513D0" w:rsidRDefault="00424D15">
            <w:pPr>
              <w:widowControl/>
              <w:ind w:firstLine="120"/>
              <w:jc w:val="left"/>
            </w:pPr>
            <w:r w:rsidRPr="004513D0">
              <w:t xml:space="preserve">1年以上のMR4.0 </w:t>
            </w:r>
          </w:p>
        </w:tc>
        <w:tc>
          <w:tcPr>
            <w:tcW w:w="2552" w:type="dxa"/>
            <w:shd w:val="clear" w:color="auto" w:fill="auto"/>
            <w:tcMar>
              <w:left w:w="142" w:type="dxa"/>
            </w:tcMar>
            <w:vAlign w:val="center"/>
          </w:tcPr>
          <w:p w14:paraId="04AF6729" w14:textId="77777777" w:rsidR="002A69E3" w:rsidRPr="004513D0" w:rsidRDefault="00424D15">
            <w:pPr>
              <w:widowControl/>
              <w:jc w:val="center"/>
            </w:pPr>
            <w:r w:rsidRPr="004513D0">
              <w:t>MR4.0消失</w:t>
            </w:r>
          </w:p>
        </w:tc>
        <w:tc>
          <w:tcPr>
            <w:tcW w:w="1842" w:type="dxa"/>
            <w:shd w:val="clear" w:color="auto" w:fill="auto"/>
            <w:vAlign w:val="center"/>
          </w:tcPr>
          <w:p w14:paraId="58154A1D" w14:textId="59D177CD" w:rsidR="002A69E3" w:rsidRPr="004513D0" w:rsidRDefault="00424D15" w:rsidP="00EE404E">
            <w:pPr>
              <w:rPr>
                <w:lang w:val="en-US"/>
              </w:rPr>
            </w:pPr>
            <w:r w:rsidRPr="004513D0">
              <w:t>36ヶ月時44</w:t>
            </w:r>
            <w:r w:rsidR="00722038" w:rsidRPr="004513D0">
              <w:t>％</w:t>
            </w:r>
          </w:p>
        </w:tc>
      </w:tr>
    </w:tbl>
    <w:p w14:paraId="14E5CFA0" w14:textId="77777777" w:rsidR="002A69E3" w:rsidRPr="004513D0" w:rsidRDefault="00424D15">
      <w:pPr>
        <w:rPr>
          <w:b/>
        </w:rPr>
      </w:pPr>
      <w:r w:rsidRPr="004513D0">
        <w:rPr>
          <w:b/>
        </w:rPr>
        <w:t>図2．主なTKI中止試験の一覧</w:t>
      </w:r>
    </w:p>
    <w:p w14:paraId="4F5AF6B4" w14:textId="77777777" w:rsidR="002A69E3" w:rsidRPr="004513D0" w:rsidRDefault="00424D15">
      <w:pPr>
        <w:pStyle w:val="2"/>
        <w:rPr>
          <w:rFonts w:ascii="ＭＳ Ｐ明朝" w:eastAsia="ＭＳ Ｐ明朝" w:hAnsi="ＭＳ Ｐ明朝" w:cs="ＭＳ Ｐ明朝"/>
        </w:rPr>
      </w:pPr>
      <w:bookmarkStart w:id="13" w:name="_Toc12865305"/>
      <w:r w:rsidRPr="004513D0">
        <w:rPr>
          <w:rFonts w:ascii="ＭＳ Ｐ明朝" w:eastAsia="ＭＳ Ｐ明朝" w:hAnsi="ＭＳ Ｐ明朝" w:cs="ＭＳ Ｐ明朝"/>
        </w:rPr>
        <w:t>1.4．本研究の意義</w:t>
      </w:r>
      <w:bookmarkEnd w:id="13"/>
    </w:p>
    <w:p w14:paraId="6FB73F77" w14:textId="53EDD33B" w:rsidR="002A69E3" w:rsidRPr="004513D0" w:rsidRDefault="00424D15">
      <w:pPr>
        <w:ind w:firstLine="240"/>
      </w:pPr>
      <w:r w:rsidRPr="004513D0">
        <w:t>本研究は、これまで実施されてきた日本人のTKI stop臨床試験の患者集団と、実臨床においてTKI中止を予定している患者というリアルワールドの患者集団を長期に追跡する初めての大規模なコホート研究である。本研究により、TKI治療中止後の日本人のTFR達成率を明らかにすることは、本集団でのTKI治療薬の投与を中止する“TKI　off therapy”を可能とするための信頼性の高いエビデンスを提供できる。さらにTKI stopに適した</w:t>
      </w:r>
      <w:r w:rsidR="00EB54C0" w:rsidRPr="004513D0">
        <w:rPr>
          <w:rFonts w:hint="eastAsia"/>
        </w:rPr>
        <w:t>t</w:t>
      </w:r>
      <w:r w:rsidR="00EB54C0" w:rsidRPr="004513D0">
        <w:t xml:space="preserve">arget </w:t>
      </w:r>
      <w:r w:rsidRPr="004513D0">
        <w:t>populationを同定することで、より質の高い“TKI off therapy”をCML患者に提供することに大きく寄与することが期待できる。</w:t>
      </w:r>
    </w:p>
    <w:p w14:paraId="640A9D88" w14:textId="77777777" w:rsidR="002A69E3" w:rsidRPr="004513D0" w:rsidRDefault="002A69E3">
      <w:pPr>
        <w:rPr>
          <w:b/>
        </w:rPr>
      </w:pPr>
    </w:p>
    <w:p w14:paraId="064A5A6E" w14:textId="77777777" w:rsidR="002A69E3" w:rsidRPr="004513D0" w:rsidRDefault="00424D15">
      <w:pPr>
        <w:pStyle w:val="1"/>
      </w:pPr>
      <w:bookmarkStart w:id="14" w:name="_Toc12865306"/>
      <w:r w:rsidRPr="004513D0">
        <w:t>2．研究目的</w:t>
      </w:r>
      <w:bookmarkEnd w:id="14"/>
    </w:p>
    <w:p w14:paraId="6D7BD047" w14:textId="75796BEA" w:rsidR="002A69E3" w:rsidRPr="004513D0" w:rsidRDefault="00424D15" w:rsidP="00D820FD">
      <w:pPr>
        <w:ind w:firstLine="240"/>
        <w:rPr>
          <w:strike/>
        </w:rPr>
      </w:pPr>
      <w:r w:rsidRPr="004513D0">
        <w:t>本邦におけるCMLの患者でTKI を中止した全ての症例を対象とした前向き観察研究を行い、TFRの長期成績を把握する。また、初診時の</w:t>
      </w:r>
      <w:r w:rsidR="009B2CBD">
        <w:rPr>
          <w:rFonts w:hint="eastAsia"/>
        </w:rPr>
        <w:t>患者背景</w:t>
      </w:r>
      <w:r w:rsidRPr="004513D0">
        <w:t>やTKI中止前の治療内容が長期成績に及ぼす影響を評価する。</w:t>
      </w:r>
    </w:p>
    <w:p w14:paraId="41F214FA" w14:textId="77777777" w:rsidR="002A69E3" w:rsidRPr="004513D0" w:rsidRDefault="002A69E3">
      <w:pPr>
        <w:ind w:firstLine="240"/>
      </w:pPr>
    </w:p>
    <w:p w14:paraId="7F1B84EC" w14:textId="500FB073" w:rsidR="002A69E3" w:rsidRPr="004513D0" w:rsidRDefault="00934CE9">
      <w:pPr>
        <w:pStyle w:val="1"/>
      </w:pPr>
      <w:bookmarkStart w:id="15" w:name="_Toc12865307"/>
      <w:r>
        <w:rPr>
          <w:rFonts w:ascii="HG丸ｺﾞｼｯｸM-PRO" w:eastAsia="HG丸ｺﾞｼｯｸM-PRO"/>
          <w:noProof/>
          <w:shd w:val="pct15" w:color="auto" w:fill="FFFFFF"/>
          <w:lang w:val="en-US"/>
        </w:rPr>
        <w:lastRenderedPageBreak/>
        <w:drawing>
          <wp:anchor distT="0" distB="0" distL="114300" distR="114300" simplePos="0" relativeHeight="251660288" behindDoc="0" locked="0" layoutInCell="1" allowOverlap="1" wp14:anchorId="4262D031" wp14:editId="6090C911">
            <wp:simplePos x="0" y="0"/>
            <wp:positionH relativeFrom="margin">
              <wp:posOffset>-635</wp:posOffset>
            </wp:positionH>
            <wp:positionV relativeFrom="paragraph">
              <wp:posOffset>320675</wp:posOffset>
            </wp:positionV>
            <wp:extent cx="5676900" cy="3293745"/>
            <wp:effectExtent l="0" t="0" r="0" b="190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329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D15" w:rsidRPr="004513D0">
        <w:t>3．研究デザイン</w:t>
      </w:r>
      <w:bookmarkEnd w:id="15"/>
    </w:p>
    <w:p w14:paraId="5DC74439" w14:textId="484BB975" w:rsidR="002A69E3" w:rsidRPr="004513D0" w:rsidRDefault="00424D15">
      <w:pPr>
        <w:ind w:firstLine="240"/>
      </w:pPr>
      <w:r w:rsidRPr="004513D0">
        <w:t>本研究は観察研究であり、治療介入は行わず、登録された患者に対して規定したスケジュールにおける検査結果、治療成績について、後ろ向きおよび前向きに調査する（図3）。</w:t>
      </w:r>
    </w:p>
    <w:p w14:paraId="40912D87" w14:textId="77777777" w:rsidR="002A69E3" w:rsidRPr="004513D0" w:rsidRDefault="00424D15">
      <w:pPr>
        <w:rPr>
          <w:b/>
        </w:rPr>
      </w:pPr>
      <w:r w:rsidRPr="004513D0">
        <w:rPr>
          <w:b/>
        </w:rPr>
        <w:t>図3．本研究のシェーマ</w:t>
      </w:r>
    </w:p>
    <w:p w14:paraId="1C8C6053" w14:textId="77777777" w:rsidR="002A69E3" w:rsidRPr="004513D0" w:rsidRDefault="00424D15">
      <w:pPr>
        <w:pStyle w:val="1"/>
      </w:pPr>
      <w:bookmarkStart w:id="16" w:name="_Toc12865308"/>
      <w:r w:rsidRPr="004513D0">
        <w:t>4．対象（適格基準）</w:t>
      </w:r>
      <w:bookmarkEnd w:id="16"/>
    </w:p>
    <w:p w14:paraId="5058002E" w14:textId="77777777" w:rsidR="002A69E3" w:rsidRPr="004513D0" w:rsidRDefault="00424D15">
      <w:pPr>
        <w:ind w:firstLine="240"/>
      </w:pPr>
      <w:r w:rsidRPr="004513D0">
        <w:t>CML患者で以下の選択基準を全て満たし、除外基準のいずれにも該当しない患者を登録適格例とする。</w:t>
      </w:r>
    </w:p>
    <w:p w14:paraId="5B0BCF1C" w14:textId="77777777" w:rsidR="002A69E3" w:rsidRPr="004513D0" w:rsidRDefault="002A69E3"/>
    <w:p w14:paraId="6F153C50" w14:textId="77777777" w:rsidR="002A69E3" w:rsidRPr="004513D0" w:rsidRDefault="00424D15">
      <w:pPr>
        <w:pStyle w:val="2"/>
      </w:pPr>
      <w:bookmarkStart w:id="17" w:name="_Toc12865309"/>
      <w:r w:rsidRPr="004513D0">
        <w:t>4.1. 登録適格基準</w:t>
      </w:r>
      <w:bookmarkEnd w:id="17"/>
    </w:p>
    <w:p w14:paraId="1CB7AC6B" w14:textId="77777777" w:rsidR="002A69E3" w:rsidRPr="004513D0" w:rsidRDefault="00424D15">
      <w:pPr>
        <w:ind w:left="220"/>
      </w:pPr>
      <w:r w:rsidRPr="004513D0">
        <w:t xml:space="preserve">1) major BCR-ABL陽性CML症例 </w:t>
      </w:r>
    </w:p>
    <w:p w14:paraId="4D5E5951" w14:textId="192C7FFA" w:rsidR="002A69E3" w:rsidRPr="00E9257C" w:rsidRDefault="00424D15">
      <w:pPr>
        <w:ind w:left="460" w:hanging="240"/>
        <w:rPr>
          <w:lang w:val="en-US"/>
        </w:rPr>
      </w:pPr>
      <w:r w:rsidRPr="004513D0">
        <w:t>2) TFRの成功・失敗に関わらず、何らかの理由でTKI治療を中止した患者、臨床試験でTKIを中止したことのある患者、またはこれから何らかの理由でTKI治療を中止する予定の患者。</w:t>
      </w:r>
    </w:p>
    <w:p w14:paraId="3795471A" w14:textId="440BC154" w:rsidR="002A69E3" w:rsidRPr="00212811" w:rsidRDefault="00424D15">
      <w:pPr>
        <w:ind w:left="220"/>
        <w:rPr>
          <w:lang w:val="en-US"/>
        </w:rPr>
      </w:pPr>
      <w:r w:rsidRPr="004513D0">
        <w:t xml:space="preserve">3) </w:t>
      </w:r>
      <w:r w:rsidR="00EA3D75">
        <w:rPr>
          <w:rFonts w:hint="eastAsia"/>
        </w:rPr>
        <w:t>過去の</w:t>
      </w:r>
      <w:r w:rsidR="00EA3D75">
        <w:rPr>
          <w:lang w:val="en-US"/>
        </w:rPr>
        <w:t>TFR</w:t>
      </w:r>
      <w:r w:rsidR="00EA3D75">
        <w:rPr>
          <w:rFonts w:hint="eastAsia"/>
        </w:rPr>
        <w:t>試験の適格基準および造血器腫瘍診療ガイドラインの</w:t>
      </w:r>
      <w:r w:rsidR="00EA3D75">
        <w:rPr>
          <w:lang w:val="en-US"/>
        </w:rPr>
        <w:t>TFR</w:t>
      </w:r>
      <w:r w:rsidR="00EA3D75">
        <w:rPr>
          <w:rFonts w:hint="eastAsia"/>
          <w:lang w:val="en-US"/>
        </w:rPr>
        <w:t>適格基準、本研究の目的などを十分説明した上で</w:t>
      </w:r>
      <w:r w:rsidRPr="004513D0">
        <w:t>文書による本人（未成年者の場合は本人および代諾者）の</w:t>
      </w:r>
      <w:r w:rsidR="00EA3D75">
        <w:rPr>
          <w:rFonts w:hint="eastAsia"/>
        </w:rPr>
        <w:t>参加の</w:t>
      </w:r>
      <w:r w:rsidRPr="004513D0">
        <w:t>同意が得られた患者</w:t>
      </w:r>
    </w:p>
    <w:p w14:paraId="74D57FA4" w14:textId="77777777" w:rsidR="002A69E3" w:rsidRPr="004513D0" w:rsidRDefault="002A69E3"/>
    <w:p w14:paraId="3D8EB68E" w14:textId="77777777" w:rsidR="002A69E3" w:rsidRPr="004513D0" w:rsidRDefault="00424D15">
      <w:pPr>
        <w:pStyle w:val="2"/>
      </w:pPr>
      <w:bookmarkStart w:id="18" w:name="_Toc12865310"/>
      <w:r w:rsidRPr="004513D0">
        <w:t>4.2. 登録除外基準</w:t>
      </w:r>
      <w:bookmarkEnd w:id="18"/>
    </w:p>
    <w:p w14:paraId="26FE48B8" w14:textId="77777777" w:rsidR="002A69E3" w:rsidRPr="004513D0" w:rsidRDefault="00424D15">
      <w:pPr>
        <w:ind w:left="220"/>
      </w:pPr>
      <w:r w:rsidRPr="004513D0">
        <w:t>1) TKI中止前後またはTKI再投与後の臨床情報や検査結果を提供できない患者</w:t>
      </w:r>
    </w:p>
    <w:p w14:paraId="04387A3D" w14:textId="77777777" w:rsidR="002A69E3" w:rsidRPr="004513D0" w:rsidRDefault="00424D15">
      <w:pPr>
        <w:ind w:left="220"/>
      </w:pPr>
      <w:r w:rsidRPr="004513D0">
        <w:t>2) その他、試験への参加が困難と担当医師が判断した患者</w:t>
      </w:r>
    </w:p>
    <w:p w14:paraId="05B61CE7" w14:textId="77777777" w:rsidR="002A69E3" w:rsidRPr="004513D0" w:rsidRDefault="002A69E3"/>
    <w:p w14:paraId="367F79DF" w14:textId="77777777" w:rsidR="002A69E3" w:rsidRPr="004513D0" w:rsidRDefault="00424D15">
      <w:pPr>
        <w:pStyle w:val="2"/>
      </w:pPr>
      <w:bookmarkStart w:id="19" w:name="_Toc12865311"/>
      <w:r w:rsidRPr="004513D0">
        <w:t>4.3. 他の臨床試験への登録</w:t>
      </w:r>
      <w:bookmarkEnd w:id="19"/>
    </w:p>
    <w:p w14:paraId="53734371" w14:textId="1E158669" w:rsidR="002A69E3" w:rsidRPr="004513D0" w:rsidRDefault="00424D15">
      <w:pPr>
        <w:ind w:firstLine="240"/>
      </w:pPr>
      <w:r w:rsidRPr="004513D0">
        <w:t>本研究は、他の臨床試験との2重登録は妨げない。患者の同意があれば、個々の研究における同意内容に基づき実施されることを許可する。</w:t>
      </w:r>
    </w:p>
    <w:p w14:paraId="07EF2151" w14:textId="77777777" w:rsidR="002A69E3" w:rsidRPr="004513D0" w:rsidRDefault="002A69E3"/>
    <w:p w14:paraId="7BDDDD0A" w14:textId="77777777" w:rsidR="002A69E3" w:rsidRPr="004513D0" w:rsidRDefault="00424D15">
      <w:pPr>
        <w:pStyle w:val="1"/>
        <w:rPr>
          <w:lang w:val="en-US"/>
        </w:rPr>
      </w:pPr>
      <w:bookmarkStart w:id="20" w:name="_Toc12865312"/>
      <w:r w:rsidRPr="004513D0">
        <w:rPr>
          <w:lang w:val="en-US"/>
        </w:rPr>
        <w:t>5．</w:t>
      </w:r>
      <w:r w:rsidRPr="004513D0">
        <w:t>評価項目</w:t>
      </w:r>
      <w:bookmarkEnd w:id="20"/>
    </w:p>
    <w:p w14:paraId="0975C6D1" w14:textId="77777777" w:rsidR="002A69E3" w:rsidRPr="004513D0" w:rsidRDefault="00424D15">
      <w:pPr>
        <w:pStyle w:val="2"/>
        <w:rPr>
          <w:lang w:val="en-US"/>
        </w:rPr>
      </w:pPr>
      <w:bookmarkStart w:id="21" w:name="_Toc12865313"/>
      <w:r w:rsidRPr="004513D0">
        <w:rPr>
          <w:lang w:val="en-US"/>
        </w:rPr>
        <w:t>5.1．</w:t>
      </w:r>
      <w:r w:rsidRPr="004513D0">
        <w:t xml:space="preserve">主要評価項目　</w:t>
      </w:r>
      <w:r w:rsidRPr="004513D0">
        <w:rPr>
          <w:lang w:val="en-US"/>
        </w:rPr>
        <w:t>（Primary endpoint）</w:t>
      </w:r>
      <w:bookmarkEnd w:id="21"/>
      <w:r w:rsidRPr="004513D0">
        <w:t xml:space="preserve">　</w:t>
      </w:r>
    </w:p>
    <w:p w14:paraId="0658EEE9" w14:textId="77777777" w:rsidR="002A69E3" w:rsidRPr="004513D0" w:rsidRDefault="00424D15">
      <w:pPr>
        <w:ind w:left="543"/>
      </w:pPr>
      <w:r w:rsidRPr="004513D0">
        <w:t>・TKI中止後5年時点でのTFR率</w:t>
      </w:r>
    </w:p>
    <w:p w14:paraId="1CD20FDA" w14:textId="77777777" w:rsidR="002A69E3" w:rsidRPr="004513D0" w:rsidRDefault="002A69E3">
      <w:pPr>
        <w:ind w:left="543"/>
        <w:jc w:val="left"/>
      </w:pPr>
    </w:p>
    <w:p w14:paraId="41B6E24E" w14:textId="77777777" w:rsidR="002A69E3" w:rsidRPr="004513D0" w:rsidRDefault="00424D15">
      <w:pPr>
        <w:pStyle w:val="2"/>
        <w:rPr>
          <w:lang w:val="en-US"/>
        </w:rPr>
      </w:pPr>
      <w:bookmarkStart w:id="22" w:name="_Toc12865314"/>
      <w:r w:rsidRPr="004513D0">
        <w:rPr>
          <w:lang w:val="en-US"/>
        </w:rPr>
        <w:t>5.2．</w:t>
      </w:r>
      <w:r w:rsidRPr="004513D0">
        <w:t>副次的評価項目</w:t>
      </w:r>
      <w:r w:rsidRPr="004513D0">
        <w:rPr>
          <w:lang w:val="en-US"/>
        </w:rPr>
        <w:t>（Secondary endpoint）</w:t>
      </w:r>
      <w:bookmarkEnd w:id="22"/>
    </w:p>
    <w:p w14:paraId="2014A873" w14:textId="77777777" w:rsidR="002A69E3" w:rsidRPr="004513D0" w:rsidRDefault="00424D15">
      <w:pPr>
        <w:ind w:left="543"/>
        <w:jc w:val="left"/>
      </w:pPr>
      <w:r w:rsidRPr="004513D0">
        <w:t>・TKI中止後10年時点でのTFR率</w:t>
      </w:r>
    </w:p>
    <w:p w14:paraId="538EFCA6" w14:textId="77777777" w:rsidR="002A69E3" w:rsidRPr="004513D0" w:rsidRDefault="00424D15">
      <w:pPr>
        <w:ind w:left="543"/>
        <w:jc w:val="left"/>
      </w:pPr>
      <w:r w:rsidRPr="004513D0">
        <w:t xml:space="preserve">・TKI中止後のTreatment Free Survival (TFS) </w:t>
      </w:r>
      <w:r w:rsidR="00FB176D" w:rsidRPr="004513D0">
        <w:t>、</w:t>
      </w:r>
      <w:r w:rsidRPr="004513D0">
        <w:t xml:space="preserve"> Progression Free Survival (PFS)</w:t>
      </w:r>
    </w:p>
    <w:p w14:paraId="2F7F40FA" w14:textId="77777777" w:rsidR="002A69E3" w:rsidRPr="004513D0" w:rsidRDefault="00424D15">
      <w:pPr>
        <w:ind w:left="543"/>
        <w:jc w:val="left"/>
      </w:pPr>
      <w:r w:rsidRPr="004513D0">
        <w:t>・TFR喪失患者に対するTKI再投与後の累積MMR再獲得率</w:t>
      </w:r>
    </w:p>
    <w:p w14:paraId="3FEC7409" w14:textId="77777777" w:rsidR="002A69E3" w:rsidRPr="004513D0" w:rsidRDefault="002A69E3">
      <w:pPr>
        <w:ind w:left="543"/>
        <w:jc w:val="left"/>
      </w:pPr>
    </w:p>
    <w:p w14:paraId="6D2C6677" w14:textId="77777777" w:rsidR="002A69E3" w:rsidRPr="004513D0" w:rsidRDefault="00424D15">
      <w:pPr>
        <w:pStyle w:val="2"/>
        <w:rPr>
          <w:lang w:val="en-US"/>
        </w:rPr>
      </w:pPr>
      <w:bookmarkStart w:id="23" w:name="_Toc12865315"/>
      <w:r w:rsidRPr="004513D0">
        <w:rPr>
          <w:lang w:val="en-US"/>
        </w:rPr>
        <w:t>5.3．</w:t>
      </w:r>
      <w:r w:rsidRPr="004513D0">
        <w:t>探索的評価項目</w:t>
      </w:r>
      <w:r w:rsidRPr="004513D0">
        <w:rPr>
          <w:lang w:val="en-US"/>
        </w:rPr>
        <w:t>（Exploratory endpoint）</w:t>
      </w:r>
      <w:bookmarkEnd w:id="23"/>
    </w:p>
    <w:p w14:paraId="5B63E455" w14:textId="77777777" w:rsidR="002A69E3" w:rsidRPr="004513D0" w:rsidRDefault="00424D15">
      <w:pPr>
        <w:ind w:left="642"/>
        <w:jc w:val="left"/>
      </w:pPr>
      <w:r w:rsidRPr="004513D0">
        <w:t>・初診時のリスク分類 （Sokal score</w:t>
      </w:r>
      <w:r w:rsidRPr="004513D0">
        <w:rPr>
          <w:vertAlign w:val="superscript"/>
        </w:rPr>
        <w:t>1</w:t>
      </w:r>
      <w:r w:rsidRPr="004513D0">
        <w:t>、ELTS score</w:t>
      </w:r>
      <w:r w:rsidRPr="004513D0">
        <w:rPr>
          <w:vertAlign w:val="superscript"/>
        </w:rPr>
        <w:t>2</w:t>
      </w:r>
      <w:r w:rsidR="00FB176D" w:rsidRPr="004513D0">
        <w:t>、</w:t>
      </w:r>
      <w:r w:rsidRPr="004513D0">
        <w:t xml:space="preserve"> Hasford score</w:t>
      </w:r>
      <w:r w:rsidRPr="004513D0">
        <w:rPr>
          <w:vertAlign w:val="superscript"/>
        </w:rPr>
        <w:t>3</w:t>
      </w:r>
      <w:r w:rsidRPr="004513D0">
        <w:t>）別サブ解析</w:t>
      </w:r>
    </w:p>
    <w:p w14:paraId="223B6985" w14:textId="77777777" w:rsidR="002A69E3" w:rsidRPr="004513D0" w:rsidRDefault="00424D15">
      <w:pPr>
        <w:ind w:left="642"/>
        <w:jc w:val="left"/>
      </w:pPr>
      <w:r w:rsidRPr="004513D0">
        <w:t>・前治療（IFNの使用の有無）、薬剤（IFNまたはTKI）投与期間別サブ解析、</w:t>
      </w:r>
    </w:p>
    <w:p w14:paraId="5C4BE895" w14:textId="77777777" w:rsidR="002A69E3" w:rsidRPr="004513D0" w:rsidRDefault="00424D15">
      <w:pPr>
        <w:ind w:left="642"/>
        <w:jc w:val="left"/>
      </w:pPr>
      <w:r w:rsidRPr="004513D0">
        <w:t>・中止直前のTKI別サブ解析</w:t>
      </w:r>
    </w:p>
    <w:p w14:paraId="67269117" w14:textId="77777777" w:rsidR="002A69E3" w:rsidRPr="004513D0" w:rsidRDefault="00424D15">
      <w:pPr>
        <w:ind w:left="642"/>
        <w:jc w:val="left"/>
      </w:pPr>
      <w:r w:rsidRPr="004513D0">
        <w:t>・MMR/DMR達成時期またはMMR/DMR持続期間別サブ解析</w:t>
      </w:r>
    </w:p>
    <w:p w14:paraId="4D990DF3" w14:textId="77777777" w:rsidR="002A69E3" w:rsidRPr="004513D0" w:rsidRDefault="00424D15">
      <w:pPr>
        <w:ind w:left="642"/>
        <w:jc w:val="left"/>
      </w:pPr>
      <w:r w:rsidRPr="004513D0">
        <w:t>・その他、患者背景別サブ解析</w:t>
      </w:r>
    </w:p>
    <w:p w14:paraId="2AA1F1BF" w14:textId="77777777" w:rsidR="002A69E3" w:rsidRPr="004513D0" w:rsidRDefault="002A69E3">
      <w:pPr>
        <w:ind w:left="642"/>
      </w:pPr>
    </w:p>
    <w:p w14:paraId="21C3E7CF" w14:textId="77777777" w:rsidR="002A69E3" w:rsidRPr="004513D0" w:rsidRDefault="00424D15">
      <w:pPr>
        <w:pStyle w:val="1"/>
        <w:jc w:val="left"/>
      </w:pPr>
      <w:bookmarkStart w:id="24" w:name="_Toc12865316"/>
      <w:r w:rsidRPr="004513D0">
        <w:t>6．研究スケジュール</w:t>
      </w:r>
      <w:bookmarkEnd w:id="24"/>
    </w:p>
    <w:p w14:paraId="73A0A53F" w14:textId="77777777" w:rsidR="002A69E3" w:rsidRPr="004513D0" w:rsidRDefault="00424D15">
      <w:pPr>
        <w:ind w:firstLine="240"/>
      </w:pPr>
      <w:r w:rsidRPr="004513D0">
        <w:t>本研究は前向き観察研究であり、治療介入は行わず、登録された患者に対してTKI中止前の臨床情報を収集し、登録後は規定されたスケジュールで観察と検査を行い治療成績や予後を調査する。再治療は担当医師の判断により各患者に実施される。</w:t>
      </w:r>
    </w:p>
    <w:p w14:paraId="74F052CD" w14:textId="5E73D28E" w:rsidR="002A69E3" w:rsidRPr="004513D0" w:rsidRDefault="00424D15">
      <w:pPr>
        <w:ind w:firstLine="240"/>
      </w:pPr>
      <w:r w:rsidRPr="004513D0">
        <w:t>新規にTKI治療を中止する登録患者については、以下の観察スケジュール（TFRおよびRe-TKIスケジュール）に基づいて前向きに評価を行う。また、過去にTKI治療を中止した登録患者についても同様のスケジュールに基づいて、後ろ向きおよび前向きに以下の情報を可能な限り取得する。</w:t>
      </w:r>
    </w:p>
    <w:p w14:paraId="42A5787C" w14:textId="77777777" w:rsidR="002A69E3" w:rsidRPr="004513D0" w:rsidRDefault="002A69E3">
      <w:pPr>
        <w:ind w:firstLine="353"/>
      </w:pPr>
    </w:p>
    <w:p w14:paraId="610C0A2E" w14:textId="77777777" w:rsidR="002A69E3" w:rsidRPr="004513D0" w:rsidRDefault="00424D15">
      <w:pPr>
        <w:pStyle w:val="2"/>
      </w:pPr>
      <w:bookmarkStart w:id="25" w:name="_Toc12865317"/>
      <w:r w:rsidRPr="004513D0">
        <w:t>6.1．CML発症時</w:t>
      </w:r>
      <w:bookmarkEnd w:id="25"/>
    </w:p>
    <w:p w14:paraId="25EF7E73" w14:textId="6B5444AB" w:rsidR="002A69E3" w:rsidRPr="004513D0" w:rsidRDefault="00424D15">
      <w:pPr>
        <w:ind w:firstLine="240"/>
      </w:pPr>
      <w:r w:rsidRPr="004513D0">
        <w:t>CML診断日、診断時年齢、性別、</w:t>
      </w:r>
      <w:r w:rsidR="00EB54C0" w:rsidRPr="004513D0">
        <w:rPr>
          <w:rFonts w:hint="eastAsia"/>
        </w:rPr>
        <w:t>人種、</w:t>
      </w:r>
      <w:r w:rsidRPr="004513D0">
        <w:t>診断時の脾腫、髄外腫瘤の有無、血</w:t>
      </w:r>
      <w:r w:rsidRPr="004513D0">
        <w:lastRenderedPageBreak/>
        <w:t>算・血液像、Sokal score</w:t>
      </w:r>
      <w:r w:rsidRPr="004513D0">
        <w:rPr>
          <w:vertAlign w:val="superscript"/>
        </w:rPr>
        <w:t>1</w:t>
      </w:r>
      <w:r w:rsidRPr="004513D0">
        <w:t>、ELTS score</w:t>
      </w:r>
      <w:r w:rsidRPr="004513D0">
        <w:rPr>
          <w:vertAlign w:val="superscript"/>
        </w:rPr>
        <w:t>2</w:t>
      </w:r>
      <w:r w:rsidRPr="004513D0">
        <w:t>、Hasford score</w:t>
      </w:r>
      <w:r w:rsidRPr="004513D0">
        <w:rPr>
          <w:vertAlign w:val="superscript"/>
        </w:rPr>
        <w:t>3</w:t>
      </w:r>
      <w:r w:rsidRPr="004513D0">
        <w:t>、病期、染色体（核型、クローン数）。</w:t>
      </w:r>
    </w:p>
    <w:p w14:paraId="6FD2BF4A" w14:textId="77777777" w:rsidR="002A69E3" w:rsidRPr="004513D0" w:rsidRDefault="002A69E3">
      <w:pPr>
        <w:ind w:left="440"/>
      </w:pPr>
    </w:p>
    <w:p w14:paraId="03017EF6" w14:textId="77777777" w:rsidR="002A69E3" w:rsidRPr="004513D0" w:rsidRDefault="00424D15">
      <w:pPr>
        <w:pStyle w:val="2"/>
      </w:pPr>
      <w:bookmarkStart w:id="26" w:name="_Toc12865318"/>
      <w:r w:rsidRPr="004513D0">
        <w:t>6.2.　TKI治療の中止時</w:t>
      </w:r>
      <w:bookmarkEnd w:id="26"/>
    </w:p>
    <w:p w14:paraId="6B704741" w14:textId="77777777" w:rsidR="002A69E3" w:rsidRPr="004513D0" w:rsidRDefault="00424D15">
      <w:pPr>
        <w:ind w:left="544" w:hanging="1"/>
      </w:pPr>
      <w:r w:rsidRPr="004513D0">
        <w:t>・初発時から登録時までのすべてのIFN-α治療の有無と期間</w:t>
      </w:r>
    </w:p>
    <w:p w14:paraId="4D6A890B" w14:textId="77777777" w:rsidR="002A69E3" w:rsidRPr="004513D0" w:rsidRDefault="00424D15">
      <w:pPr>
        <w:ind w:left="544" w:hanging="1"/>
      </w:pPr>
      <w:r w:rsidRPr="004513D0">
        <w:t>・TKI治療開始日とTKIの種類</w:t>
      </w:r>
    </w:p>
    <w:p w14:paraId="0B18424B" w14:textId="77777777" w:rsidR="002A69E3" w:rsidRPr="004513D0" w:rsidRDefault="00424D15">
      <w:pPr>
        <w:ind w:left="544" w:hanging="1"/>
      </w:pPr>
      <w:r w:rsidRPr="004513D0">
        <w:t>・治療経過中TKIの変更あれば変更日・変更理由（抵抗性・不耐容・その他）とTKIの種類（複数あればすべて）</w:t>
      </w:r>
    </w:p>
    <w:p w14:paraId="3CB3DBD0" w14:textId="0E140866" w:rsidR="002A69E3" w:rsidRPr="004513D0" w:rsidRDefault="00424D15">
      <w:pPr>
        <w:ind w:left="544" w:hanging="1"/>
      </w:pPr>
      <w:r w:rsidRPr="004513D0">
        <w:t>・TKI中止日と中止直前TKI、中止理由（臨床試験</w:t>
      </w:r>
      <w:r w:rsidR="00EB54C0" w:rsidRPr="004513D0">
        <w:rPr>
          <w:rFonts w:hint="eastAsia"/>
        </w:rPr>
        <w:t>参加</w:t>
      </w:r>
      <w:r w:rsidRPr="004513D0">
        <w:t>、副作用、妊娠希望、</w:t>
      </w:r>
      <w:r w:rsidR="00EB54C0" w:rsidRPr="004513D0">
        <w:rPr>
          <w:rFonts w:hint="eastAsia"/>
        </w:rPr>
        <w:t>妊娠、</w:t>
      </w:r>
      <w:r w:rsidRPr="004513D0">
        <w:rPr>
          <w:rFonts w:hint="eastAsia"/>
        </w:rPr>
        <w:t>経</w:t>
      </w:r>
      <w:r w:rsidRPr="004513D0">
        <w:t>済的理由、他</w:t>
      </w:r>
      <w:r w:rsidR="00F225FF" w:rsidRPr="004513D0">
        <w:t xml:space="preserve"> [</w:t>
      </w:r>
      <w:r w:rsidR="00F225FF" w:rsidRPr="004513D0">
        <w:rPr>
          <w:rFonts w:hint="eastAsia"/>
        </w:rPr>
        <w:t>複数選択可</w:t>
      </w:r>
      <w:r w:rsidR="00F225FF" w:rsidRPr="004513D0">
        <w:t>]</w:t>
      </w:r>
      <w:r w:rsidRPr="004513D0">
        <w:t>）</w:t>
      </w:r>
    </w:p>
    <w:p w14:paraId="5B04869D" w14:textId="77777777" w:rsidR="002A69E3" w:rsidRPr="004513D0" w:rsidRDefault="00424D15">
      <w:pPr>
        <w:ind w:left="783" w:hanging="240"/>
      </w:pPr>
      <w:r w:rsidRPr="004513D0">
        <w:t>・TKI 中止歴（複数回のTKI中止歴がある場合は以前のTKI中止歴を含めた情報をすべて収集する）</w:t>
      </w:r>
    </w:p>
    <w:p w14:paraId="57AD1CE2" w14:textId="77777777" w:rsidR="002A69E3" w:rsidRPr="004513D0" w:rsidRDefault="00424D15">
      <w:pPr>
        <w:ind w:left="783" w:hanging="240"/>
      </w:pPr>
      <w:r w:rsidRPr="004513D0">
        <w:t>・臨床試験登録がある場合には、臨床試験名（DADI、JALSG-STIM213、STAT2、NILSt、JALSG-N-STOP、JALSG-D-STOP、D-STOP</w:t>
      </w:r>
      <w:r w:rsidR="00FB176D" w:rsidRPr="004513D0">
        <w:t>、</w:t>
      </w:r>
      <w:r w:rsidRPr="004513D0">
        <w:t xml:space="preserve"> JALSG-RE-STOP、DOMEST、1st-DADIなど）</w:t>
      </w:r>
    </w:p>
    <w:p w14:paraId="273A00DD" w14:textId="77777777" w:rsidR="002A69E3" w:rsidRPr="004513D0" w:rsidRDefault="00424D15">
      <w:pPr>
        <w:ind w:left="544" w:hanging="1"/>
        <w:rPr>
          <w:lang w:val="en-US"/>
        </w:rPr>
      </w:pPr>
      <w:r w:rsidRPr="004513D0">
        <w:t>・造血幹細胞移植の有無</w:t>
      </w:r>
    </w:p>
    <w:p w14:paraId="773FF44D" w14:textId="77777777" w:rsidR="002A69E3" w:rsidRPr="004513D0" w:rsidRDefault="00424D15">
      <w:pPr>
        <w:ind w:left="783" w:hanging="240"/>
      </w:pPr>
      <w:r w:rsidRPr="004513D0">
        <w:t>・MMR達成日、MR4.0達成日、MR4.5達成日、MMR持続期間、MR4.0持続期間、MR4.5持続期間（MR4.5に関しては、大塚またはシスメックスのキットでの検査以外は、参考値とする）</w:t>
      </w:r>
    </w:p>
    <w:p w14:paraId="6B8C1BE4" w14:textId="4AD3FB01" w:rsidR="002A69E3" w:rsidRPr="004513D0" w:rsidRDefault="00424D15">
      <w:pPr>
        <w:ind w:left="709" w:hanging="240"/>
      </w:pPr>
      <w:r w:rsidRPr="004513D0">
        <w:t>・</w:t>
      </w:r>
      <w:r w:rsidR="00EB54C0" w:rsidRPr="004513D0">
        <w:rPr>
          <w:rFonts w:hint="eastAsia"/>
        </w:rPr>
        <w:t>中止時の分子遺伝学的効果（IS-PCRデータ：</w:t>
      </w:r>
      <w:r w:rsidR="00EB54C0" w:rsidRPr="004513D0">
        <w:rPr>
          <w:i/>
        </w:rPr>
        <w:t>BCR-ABL</w:t>
      </w:r>
      <w:r w:rsidR="00EB54C0" w:rsidRPr="004513D0">
        <w:rPr>
          <w:rFonts w:hint="eastAsia"/>
        </w:rPr>
        <w:t>コピー数、対照</w:t>
      </w:r>
      <w:r w:rsidR="00EB54C0" w:rsidRPr="004513D0">
        <w:rPr>
          <w:i/>
        </w:rPr>
        <w:t>ABL</w:t>
      </w:r>
      <w:r w:rsidR="00EB54C0" w:rsidRPr="004513D0">
        <w:rPr>
          <w:rFonts w:hint="eastAsia"/>
        </w:rPr>
        <w:t>遺伝子コピー数、</w:t>
      </w:r>
      <w:r w:rsidR="00EB54C0" w:rsidRPr="004513D0">
        <w:t>IS</w:t>
      </w:r>
      <w:r w:rsidR="00722038" w:rsidRPr="004513D0">
        <w:t>％</w:t>
      </w:r>
      <w:r w:rsidR="00EB54C0" w:rsidRPr="004513D0">
        <w:rPr>
          <w:rFonts w:hint="eastAsia"/>
        </w:rPr>
        <w:t>など）（AMP-CML</w:t>
      </w:r>
      <w:r w:rsidR="00EB54C0" w:rsidRPr="004513D0">
        <w:t xml:space="preserve"> </w:t>
      </w:r>
      <w:r w:rsidR="00EB54C0" w:rsidRPr="004513D0">
        <w:rPr>
          <w:rFonts w:hint="eastAsia"/>
        </w:rPr>
        <w:t>100コピー</w:t>
      </w:r>
      <w:r w:rsidR="00EB54C0" w:rsidRPr="004513D0">
        <w:t>/μgRNA [50コピー/assay]</w:t>
      </w:r>
      <w:r w:rsidR="00EB54C0" w:rsidRPr="004513D0">
        <w:rPr>
          <w:rFonts w:hint="eastAsia"/>
        </w:rPr>
        <w:t>をMMR相当、</w:t>
      </w:r>
      <w:r w:rsidR="00EB54C0" w:rsidRPr="004513D0">
        <w:t>10コピー/μgRNA [</w:t>
      </w:r>
      <w:r w:rsidR="00EB54C0" w:rsidRPr="004513D0">
        <w:rPr>
          <w:rFonts w:hint="eastAsia"/>
        </w:rPr>
        <w:t>5コピー</w:t>
      </w:r>
      <w:r w:rsidR="00EB54C0" w:rsidRPr="004513D0">
        <w:t>/assay]</w:t>
      </w:r>
      <w:r w:rsidR="00EB54C0" w:rsidRPr="004513D0">
        <w:rPr>
          <w:rFonts w:hint="eastAsia"/>
        </w:rPr>
        <w:t>未満をMR4.0相当と換算する）</w:t>
      </w:r>
    </w:p>
    <w:p w14:paraId="7E74F9D4" w14:textId="77777777" w:rsidR="002A69E3" w:rsidRPr="004513D0" w:rsidRDefault="002A69E3">
      <w:pPr>
        <w:rPr>
          <w:u w:val="single"/>
        </w:rPr>
      </w:pPr>
    </w:p>
    <w:p w14:paraId="68A122D7" w14:textId="77777777" w:rsidR="002A69E3" w:rsidRPr="004513D0" w:rsidRDefault="00424D15">
      <w:pPr>
        <w:pStyle w:val="2"/>
        <w:rPr>
          <w:rFonts w:ascii="ＭＳ Ｐ明朝" w:eastAsia="ＭＳ Ｐ明朝" w:hAnsi="ＭＳ Ｐ明朝" w:cs="ＭＳ Ｐ明朝"/>
        </w:rPr>
      </w:pPr>
      <w:bookmarkStart w:id="27" w:name="_Toc12865319"/>
      <w:r w:rsidRPr="004513D0">
        <w:rPr>
          <w:rFonts w:ascii="ＭＳ Ｐ明朝" w:eastAsia="ＭＳ Ｐ明朝" w:hAnsi="ＭＳ Ｐ明朝" w:cs="ＭＳ Ｐ明朝"/>
        </w:rPr>
        <w:t>6.3．TKI治療の中止からTFRを継続中</w:t>
      </w:r>
      <w:bookmarkEnd w:id="27"/>
    </w:p>
    <w:p w14:paraId="08C27072" w14:textId="77777777" w:rsidR="005B56A4" w:rsidRPr="004513D0" w:rsidRDefault="005B56A4" w:rsidP="005B56A4">
      <w:pPr>
        <w:pBdr>
          <w:top w:val="nil"/>
          <w:left w:val="nil"/>
          <w:bottom w:val="nil"/>
          <w:right w:val="nil"/>
          <w:between w:val="nil"/>
        </w:pBdr>
        <w:spacing w:line="240" w:lineRule="auto"/>
        <w:ind w:firstLineChars="50" w:firstLine="120"/>
      </w:pPr>
      <w:r w:rsidRPr="004513D0">
        <w:t>・AP/BCへの移行の有無。移行日。</w:t>
      </w:r>
    </w:p>
    <w:p w14:paraId="26606CD4" w14:textId="77777777" w:rsidR="005B56A4" w:rsidRPr="004513D0" w:rsidRDefault="005B56A4" w:rsidP="005B56A4"/>
    <w:p w14:paraId="5C3BC952" w14:textId="77777777" w:rsidR="002A69E3" w:rsidRPr="004513D0" w:rsidRDefault="005B56A4">
      <w:pPr>
        <w:ind w:firstLine="120"/>
      </w:pPr>
      <w:r w:rsidRPr="004513D0">
        <w:t>・</w:t>
      </w:r>
      <w:r w:rsidR="00424D15" w:rsidRPr="004513D0">
        <w:t>「TFRスケジュール」に基づくIS-PCRデータ。</w:t>
      </w:r>
    </w:p>
    <w:p w14:paraId="7CA7337D" w14:textId="77777777" w:rsidR="002A69E3" w:rsidRPr="004513D0" w:rsidRDefault="00424D15">
      <w:pPr>
        <w:ind w:left="544" w:hanging="1"/>
        <w:jc w:val="left"/>
        <w:rPr>
          <w:b/>
        </w:rPr>
      </w:pPr>
      <w:r w:rsidRPr="004513D0">
        <w:rPr>
          <w:b/>
        </w:rPr>
        <w:t>【TFRスケジュール】</w:t>
      </w:r>
    </w:p>
    <w:p w14:paraId="356F4769" w14:textId="77777777" w:rsidR="002A69E3" w:rsidRPr="004513D0" w:rsidRDefault="00424D15">
      <w:pPr>
        <w:ind w:left="764"/>
      </w:pPr>
      <w:r w:rsidRPr="004513D0">
        <w:t>TKI中止後1ヶ月（±15日）、2ヶ月（±15日）、3ヶ月（±15日）、4ヶ月（±15日）、5ヶ月（±15日）、6ヶ月（</w:t>
      </w:r>
      <w:r w:rsidRPr="004513D0">
        <w:t>−</w:t>
      </w:r>
      <w:r w:rsidRPr="004513D0">
        <w:t>15日/+31日）、8ヶ月（±31日）、10ヶ月（±31日）、12ヶ月（</w:t>
      </w:r>
      <w:r w:rsidRPr="004513D0">
        <w:t>−</w:t>
      </w:r>
      <w:r w:rsidRPr="004513D0">
        <w:t>31日/+46日）、15ヶ月（±46日）、18ヶ月（±46日）、21ヶ月（±46日）、24ヶ月（±46日）、27ヶ月（±46日）、30ヶ月（±46日）、33ヶ月（±46日）、36ヶ月（</w:t>
      </w:r>
      <w:r w:rsidRPr="004513D0">
        <w:t>−</w:t>
      </w:r>
      <w:r w:rsidRPr="004513D0">
        <w:t>46日/+92日）、42ヶ月（±92日）、48ヶ月（±92日）、54ヶ月（±92日）、60ヶ月（±92日）、66ヶ月（±92日）、72ヶ月（±92日）、78ヶ月（±92日）、84ヶ月（±92日）、90ヶ月（±92日）、96ヶ月（±92日）、102</w:t>
      </w:r>
      <w:r w:rsidRPr="004513D0">
        <w:lastRenderedPageBreak/>
        <w:t>ヶ月（±92日）、108ヶ月（±92日）、114ヶ月（±92日）、120ヶ月（±92日）</w:t>
      </w:r>
    </w:p>
    <w:p w14:paraId="09134A82" w14:textId="77777777" w:rsidR="002A69E3" w:rsidRPr="004513D0" w:rsidRDefault="002A69E3">
      <w:pPr>
        <w:ind w:left="544" w:hanging="1"/>
        <w:jc w:val="left"/>
      </w:pPr>
    </w:p>
    <w:p w14:paraId="5225A789" w14:textId="77777777" w:rsidR="002A69E3" w:rsidRPr="004513D0" w:rsidRDefault="002A69E3">
      <w:pPr>
        <w:ind w:left="460" w:hanging="240"/>
        <w:jc w:val="left"/>
        <w:rPr>
          <w:u w:val="single"/>
        </w:rPr>
      </w:pPr>
    </w:p>
    <w:p w14:paraId="099903B2" w14:textId="77777777" w:rsidR="002A69E3" w:rsidRPr="004513D0" w:rsidRDefault="002A69E3">
      <w:pPr>
        <w:jc w:val="left"/>
      </w:pPr>
    </w:p>
    <w:p w14:paraId="4E2F7DBC" w14:textId="77777777" w:rsidR="002A69E3" w:rsidRPr="004513D0" w:rsidRDefault="00424D15">
      <w:pPr>
        <w:pStyle w:val="2"/>
      </w:pPr>
      <w:bookmarkStart w:id="28" w:name="_Toc12865320"/>
      <w:r w:rsidRPr="004513D0">
        <w:t>6.4.　TKI治療を再開後</w:t>
      </w:r>
      <w:bookmarkEnd w:id="28"/>
    </w:p>
    <w:p w14:paraId="0EF7665F" w14:textId="77777777" w:rsidR="002A69E3" w:rsidRPr="004513D0" w:rsidRDefault="00424D15">
      <w:pPr>
        <w:ind w:firstLine="240"/>
        <w:jc w:val="left"/>
      </w:pPr>
      <w:r w:rsidRPr="004513D0">
        <w:t>以下の「Re-TKIスケジュール」に基づくIS-PCRデータ、TKI再開日と再開時のTKI。</w:t>
      </w:r>
    </w:p>
    <w:p w14:paraId="441F1285" w14:textId="77777777" w:rsidR="002A69E3" w:rsidRPr="004513D0" w:rsidRDefault="00424D15">
      <w:pPr>
        <w:ind w:left="544" w:hanging="1"/>
        <w:jc w:val="left"/>
        <w:rPr>
          <w:b/>
        </w:rPr>
      </w:pPr>
      <w:r w:rsidRPr="004513D0">
        <w:rPr>
          <w:b/>
        </w:rPr>
        <w:t>【Re-TKIスケジュール】</w:t>
      </w:r>
    </w:p>
    <w:p w14:paraId="77164125" w14:textId="77777777" w:rsidR="002A69E3" w:rsidRPr="004513D0" w:rsidRDefault="00424D15">
      <w:pPr>
        <w:ind w:left="543" w:firstLine="240"/>
        <w:jc w:val="left"/>
      </w:pPr>
      <w:r w:rsidRPr="004513D0">
        <w:t>MMR再達成時までTKI再開後1ヶ月（±15日）から毎月（±15日）</w:t>
      </w:r>
    </w:p>
    <w:p w14:paraId="2BCE1790" w14:textId="77777777" w:rsidR="002A69E3" w:rsidRPr="004513D0" w:rsidRDefault="002A69E3">
      <w:pPr>
        <w:ind w:left="544" w:hanging="1"/>
        <w:jc w:val="left"/>
      </w:pPr>
    </w:p>
    <w:p w14:paraId="7B42EA7B" w14:textId="77777777" w:rsidR="002A69E3" w:rsidRPr="004513D0" w:rsidRDefault="002A69E3">
      <w:pPr>
        <w:ind w:left="660"/>
        <w:jc w:val="left"/>
      </w:pPr>
    </w:p>
    <w:p w14:paraId="512A607A" w14:textId="77777777" w:rsidR="002A69E3" w:rsidRPr="004513D0" w:rsidRDefault="00424D15">
      <w:pPr>
        <w:pStyle w:val="1"/>
      </w:pPr>
      <w:bookmarkStart w:id="29" w:name="_Toc12865321"/>
      <w:r w:rsidRPr="004513D0">
        <w:t>7. 本研究に用いる基準と定義</w:t>
      </w:r>
      <w:bookmarkEnd w:id="29"/>
    </w:p>
    <w:p w14:paraId="61C40275" w14:textId="77777777" w:rsidR="002A69E3" w:rsidRPr="004513D0" w:rsidRDefault="00424D15">
      <w:pPr>
        <w:pStyle w:val="2"/>
      </w:pPr>
      <w:bookmarkStart w:id="30" w:name="_Toc12865322"/>
      <w:r w:rsidRPr="004513D0">
        <w:t>7.1．分子遺伝学的効果</w:t>
      </w:r>
      <w:bookmarkEnd w:id="30"/>
    </w:p>
    <w:p w14:paraId="379F300D" w14:textId="296E742C" w:rsidR="002A69E3" w:rsidRPr="004513D0" w:rsidRDefault="00424D15">
      <w:r w:rsidRPr="004513D0">
        <w:t>分子遺伝学的奏効（Molecular Response</w:t>
      </w:r>
      <w:r w:rsidR="00EB54C0" w:rsidRPr="004513D0">
        <w:rPr>
          <w:rFonts w:hint="eastAsia"/>
        </w:rPr>
        <w:t xml:space="preserve">; </w:t>
      </w:r>
      <w:r w:rsidRPr="004513D0">
        <w:t>MR）は、以下の</w:t>
      </w:r>
      <w:r w:rsidRPr="004513D0">
        <w:rPr>
          <w:i/>
        </w:rPr>
        <w:t>BCR-ABL</w:t>
      </w:r>
      <w:r w:rsidRPr="004513D0">
        <w:t xml:space="preserve"> 遺伝子レベル（RQ-PCR 法）基準を用いる。</w:t>
      </w:r>
    </w:p>
    <w:p w14:paraId="71032BA0" w14:textId="3B048B97" w:rsidR="002A69E3" w:rsidRPr="004513D0" w:rsidRDefault="00424D15">
      <w:pPr>
        <w:numPr>
          <w:ilvl w:val="0"/>
          <w:numId w:val="2"/>
        </w:numPr>
        <w:pBdr>
          <w:top w:val="nil"/>
          <w:left w:val="nil"/>
          <w:bottom w:val="nil"/>
          <w:right w:val="nil"/>
          <w:between w:val="nil"/>
        </w:pBdr>
        <w:spacing w:line="240" w:lineRule="auto"/>
        <w:rPr>
          <w:b/>
          <w:lang w:val="en-US"/>
        </w:rPr>
      </w:pPr>
      <w:r w:rsidRPr="004513D0">
        <w:rPr>
          <w:b/>
          <w:lang w:val="en-US"/>
        </w:rPr>
        <w:t>Major molecular response (MMR)</w:t>
      </w:r>
      <w:r w:rsidRPr="004513D0">
        <w:rPr>
          <w:b/>
          <w:highlight w:val="white"/>
          <w:lang w:val="en-US"/>
        </w:rPr>
        <w:t xml:space="preserve"> : </w:t>
      </w:r>
      <w:r w:rsidRPr="004513D0">
        <w:rPr>
          <w:lang w:val="en-US"/>
        </w:rPr>
        <w:t>IS</w:t>
      </w:r>
      <w:r w:rsidR="00722038" w:rsidRPr="004513D0">
        <w:rPr>
          <w:lang w:val="en-US"/>
        </w:rPr>
        <w:t>％</w:t>
      </w:r>
      <w:r w:rsidRPr="004513D0">
        <w:rPr>
          <w:lang w:val="en-US"/>
        </w:rPr>
        <w:t xml:space="preserve"> </w:t>
      </w:r>
      <w:r w:rsidRPr="004513D0">
        <w:rPr>
          <w:i/>
          <w:lang w:val="en-US"/>
        </w:rPr>
        <w:t>BCR-ABL</w:t>
      </w:r>
      <w:r w:rsidRPr="004513D0">
        <w:rPr>
          <w:lang w:val="en-US"/>
        </w:rPr>
        <w:t>≦ 0.1</w:t>
      </w:r>
      <w:r w:rsidR="00722038" w:rsidRPr="004513D0">
        <w:rPr>
          <w:lang w:val="en-US"/>
        </w:rPr>
        <w:t>％</w:t>
      </w:r>
      <w:r w:rsidRPr="004513D0">
        <w:rPr>
          <w:lang w:val="en-US"/>
        </w:rPr>
        <w:t xml:space="preserve"> </w:t>
      </w:r>
    </w:p>
    <w:p w14:paraId="21AD8F37" w14:textId="386BED42" w:rsidR="002A69E3" w:rsidRPr="004513D0" w:rsidRDefault="00424D15">
      <w:pPr>
        <w:numPr>
          <w:ilvl w:val="0"/>
          <w:numId w:val="2"/>
        </w:numPr>
        <w:pBdr>
          <w:top w:val="nil"/>
          <w:left w:val="nil"/>
          <w:bottom w:val="nil"/>
          <w:right w:val="nil"/>
          <w:between w:val="nil"/>
        </w:pBdr>
        <w:spacing w:line="240" w:lineRule="auto"/>
        <w:rPr>
          <w:b/>
        </w:rPr>
      </w:pPr>
      <w:r w:rsidRPr="004513D0">
        <w:rPr>
          <w:b/>
        </w:rPr>
        <w:t>Deep Molecular Response (DMR)：</w:t>
      </w:r>
      <w:r w:rsidRPr="004513D0">
        <w:t>既に完了した臨床試験では、MR4.0 またはMR4.5以下のいずれかをDMRとし、新たに中止する場合は MR4.5 (IS 0.0032</w:t>
      </w:r>
      <w:r w:rsidR="00722038" w:rsidRPr="004513D0">
        <w:t>％</w:t>
      </w:r>
      <w:r w:rsidRPr="004513D0">
        <w:t>) 以下をDMRと</w:t>
      </w:r>
      <w:r w:rsidR="00722038" w:rsidRPr="004513D0">
        <w:rPr>
          <w:rFonts w:hint="eastAsia"/>
        </w:rPr>
        <w:t>定義</w:t>
      </w:r>
      <w:r w:rsidRPr="004513D0">
        <w:t>する。</w:t>
      </w:r>
    </w:p>
    <w:p w14:paraId="1A5BEEA6" w14:textId="1357D3B3" w:rsidR="002A69E3" w:rsidRPr="004513D0" w:rsidRDefault="00424D15">
      <w:pPr>
        <w:pBdr>
          <w:top w:val="nil"/>
          <w:left w:val="nil"/>
          <w:bottom w:val="nil"/>
          <w:right w:val="nil"/>
          <w:between w:val="nil"/>
        </w:pBdr>
        <w:spacing w:line="240" w:lineRule="auto"/>
        <w:ind w:left="1919" w:hanging="1039"/>
      </w:pPr>
      <w:r w:rsidRPr="004513D0">
        <w:rPr>
          <w:b/>
        </w:rPr>
        <w:t>MR4.0：</w:t>
      </w:r>
      <w:r w:rsidRPr="004513D0">
        <w:t>IS</w:t>
      </w:r>
      <w:r w:rsidR="00722038" w:rsidRPr="004513D0">
        <w:t>％</w:t>
      </w:r>
      <w:r w:rsidRPr="004513D0">
        <w:t xml:space="preserve"> </w:t>
      </w:r>
      <w:r w:rsidRPr="004513D0">
        <w:rPr>
          <w:i/>
        </w:rPr>
        <w:t>BCR-ABL</w:t>
      </w:r>
      <w:r w:rsidRPr="004513D0">
        <w:t>≦ 0.01</w:t>
      </w:r>
      <w:r w:rsidR="00722038" w:rsidRPr="004513D0">
        <w:t>％</w:t>
      </w:r>
      <w:r w:rsidRPr="004513D0">
        <w:t xml:space="preserve"> あるいは</w:t>
      </w:r>
      <w:r w:rsidRPr="004513D0">
        <w:rPr>
          <w:i/>
        </w:rPr>
        <w:t>ABL</w:t>
      </w:r>
      <w:r w:rsidRPr="004513D0">
        <w:t>遺伝子cDNA＞10,000 copyで</w:t>
      </w:r>
      <w:r w:rsidRPr="004513D0">
        <w:rPr>
          <w:i/>
        </w:rPr>
        <w:t>BCR-ABL</w:t>
      </w:r>
      <w:r w:rsidRPr="004513D0">
        <w:t>が検出感度以下</w:t>
      </w:r>
    </w:p>
    <w:p w14:paraId="53DF1C96" w14:textId="4A607C6E" w:rsidR="002A69E3" w:rsidRPr="004513D0" w:rsidRDefault="00424D15">
      <w:pPr>
        <w:pBdr>
          <w:top w:val="nil"/>
          <w:left w:val="nil"/>
          <w:bottom w:val="nil"/>
          <w:right w:val="nil"/>
          <w:between w:val="nil"/>
        </w:pBdr>
        <w:spacing w:line="240" w:lineRule="auto"/>
        <w:ind w:left="1919" w:hanging="1039"/>
      </w:pPr>
      <w:r w:rsidRPr="004513D0">
        <w:rPr>
          <w:b/>
        </w:rPr>
        <w:t>MR4.5：</w:t>
      </w:r>
      <w:r w:rsidRPr="004513D0">
        <w:t>IS</w:t>
      </w:r>
      <w:r w:rsidR="00722038" w:rsidRPr="004513D0">
        <w:t>％</w:t>
      </w:r>
      <w:r w:rsidRPr="004513D0">
        <w:t xml:space="preserve"> </w:t>
      </w:r>
      <w:r w:rsidRPr="004513D0">
        <w:rPr>
          <w:i/>
        </w:rPr>
        <w:t>BCR-ABL</w:t>
      </w:r>
      <w:r w:rsidRPr="004513D0">
        <w:t xml:space="preserve"> ≦ 0.0032</w:t>
      </w:r>
      <w:r w:rsidR="00722038" w:rsidRPr="004513D0">
        <w:t>％</w:t>
      </w:r>
      <w:r w:rsidRPr="004513D0">
        <w:t xml:space="preserve"> あるいは</w:t>
      </w:r>
      <w:r w:rsidRPr="004513D0">
        <w:rPr>
          <w:i/>
        </w:rPr>
        <w:t>ABL</w:t>
      </w:r>
      <w:r w:rsidRPr="004513D0">
        <w:t>遺伝子cDNA＞32,000 copyで</w:t>
      </w:r>
      <w:r w:rsidRPr="004513D0">
        <w:rPr>
          <w:i/>
        </w:rPr>
        <w:t>BCR-ABL</w:t>
      </w:r>
      <w:r w:rsidRPr="004513D0">
        <w:t>が検出感度以下</w:t>
      </w:r>
    </w:p>
    <w:p w14:paraId="31588EDE" w14:textId="771A6BFC" w:rsidR="002A69E3" w:rsidRPr="004513D0" w:rsidRDefault="00424D15">
      <w:pPr>
        <w:numPr>
          <w:ilvl w:val="0"/>
          <w:numId w:val="5"/>
        </w:numPr>
        <w:pBdr>
          <w:top w:val="nil"/>
          <w:left w:val="nil"/>
          <w:bottom w:val="nil"/>
          <w:right w:val="nil"/>
          <w:between w:val="nil"/>
        </w:pBdr>
        <w:spacing w:line="240" w:lineRule="auto"/>
      </w:pPr>
      <w:r w:rsidRPr="004513D0">
        <w:rPr>
          <w:b/>
        </w:rPr>
        <w:t>MMR消失：</w:t>
      </w:r>
      <w:r w:rsidRPr="004513D0">
        <w:t>IS</w:t>
      </w:r>
      <w:r w:rsidR="00722038" w:rsidRPr="004513D0">
        <w:t>％</w:t>
      </w:r>
      <w:r w:rsidRPr="004513D0">
        <w:rPr>
          <w:i/>
        </w:rPr>
        <w:t xml:space="preserve"> BCR-ABL</w:t>
      </w:r>
      <w:r w:rsidRPr="004513D0">
        <w:t>が0.1</w:t>
      </w:r>
      <w:r w:rsidR="00722038" w:rsidRPr="004513D0">
        <w:t>％</w:t>
      </w:r>
      <w:r w:rsidRPr="004513D0">
        <w:t>以下から増加した場合と定義する。AMP—CMLでは100コピー以上に増加した場合とする。</w:t>
      </w:r>
    </w:p>
    <w:p w14:paraId="2D6DB577" w14:textId="5C021742" w:rsidR="002A69E3" w:rsidRPr="004513D0" w:rsidRDefault="00424D15">
      <w:pPr>
        <w:numPr>
          <w:ilvl w:val="0"/>
          <w:numId w:val="5"/>
        </w:numPr>
        <w:pBdr>
          <w:top w:val="nil"/>
          <w:left w:val="nil"/>
          <w:bottom w:val="nil"/>
          <w:right w:val="nil"/>
          <w:between w:val="nil"/>
        </w:pBdr>
        <w:spacing w:line="240" w:lineRule="auto"/>
      </w:pPr>
      <w:r w:rsidRPr="004513D0">
        <w:rPr>
          <w:b/>
        </w:rPr>
        <w:t>DMR消失：</w:t>
      </w:r>
      <w:r w:rsidRPr="004513D0">
        <w:t xml:space="preserve"> IS</w:t>
      </w:r>
      <w:r w:rsidR="00722038" w:rsidRPr="004513D0">
        <w:t>％</w:t>
      </w:r>
      <w:r w:rsidRPr="004513D0">
        <w:t xml:space="preserve"> </w:t>
      </w:r>
      <w:r w:rsidRPr="004513D0">
        <w:rPr>
          <w:i/>
        </w:rPr>
        <w:t>BCR-ABL</w:t>
      </w:r>
      <w:r w:rsidRPr="004513D0">
        <w:t>が定量限界以下（&lt;0.0032</w:t>
      </w:r>
      <w:r w:rsidR="00722038" w:rsidRPr="004513D0">
        <w:t>％</w:t>
      </w:r>
      <w:r w:rsidRPr="004513D0">
        <w:t>）から増加し、4週間以降の分子遺伝学的検査で再度確認された場合と定義する。既に完了した臨床試験では、それぞれの試験での定義に従う。AMP-CMLでは５コピー未満から増加した場合と定義する。</w:t>
      </w:r>
    </w:p>
    <w:p w14:paraId="70CA3761" w14:textId="77777777" w:rsidR="002A69E3" w:rsidRPr="004513D0" w:rsidRDefault="002A69E3">
      <w:bookmarkStart w:id="31" w:name="_3as4poj" w:colFirst="0" w:colLast="0"/>
      <w:bookmarkStart w:id="32" w:name="_49x2ik5" w:colFirst="0" w:colLast="0"/>
      <w:bookmarkStart w:id="33" w:name="_147n2zr" w:colFirst="0" w:colLast="0"/>
      <w:bookmarkEnd w:id="31"/>
      <w:bookmarkEnd w:id="32"/>
      <w:bookmarkEnd w:id="33"/>
    </w:p>
    <w:p w14:paraId="18BB7D40" w14:textId="6D9F771E" w:rsidR="002A69E3" w:rsidRPr="004513D0" w:rsidRDefault="00424D15">
      <w:pPr>
        <w:pStyle w:val="2"/>
      </w:pPr>
      <w:bookmarkStart w:id="34" w:name="_Toc12865323"/>
      <w:r w:rsidRPr="004513D0">
        <w:t>7.</w:t>
      </w:r>
      <w:r w:rsidR="00D73386" w:rsidRPr="004513D0">
        <w:rPr>
          <w:rFonts w:hint="eastAsia"/>
        </w:rPr>
        <w:t>2</w:t>
      </w:r>
      <w:r w:rsidRPr="004513D0">
        <w:t>．分子遺伝学的再発</w:t>
      </w:r>
      <w:bookmarkEnd w:id="34"/>
    </w:p>
    <w:p w14:paraId="6BC0C136" w14:textId="77777777" w:rsidR="002A69E3" w:rsidRPr="004513D0" w:rsidRDefault="00424D15">
      <w:pPr>
        <w:ind w:firstLine="240"/>
      </w:pPr>
      <w:r w:rsidRPr="004513D0">
        <w:t>MMR消失とする。ただし、過去の中止試験の症例についてはその定義に従う。</w:t>
      </w:r>
    </w:p>
    <w:p w14:paraId="5CC120F6" w14:textId="77777777" w:rsidR="002A69E3" w:rsidRPr="004513D0" w:rsidRDefault="002A69E3">
      <w:bookmarkStart w:id="35" w:name="_23ckvvd" w:colFirst="0" w:colLast="0"/>
      <w:bookmarkEnd w:id="35"/>
    </w:p>
    <w:p w14:paraId="781A7061" w14:textId="60D04B39" w:rsidR="002A69E3" w:rsidRPr="004513D0" w:rsidRDefault="00424D15">
      <w:pPr>
        <w:pStyle w:val="2"/>
        <w:rPr>
          <w:vertAlign w:val="superscript"/>
        </w:rPr>
      </w:pPr>
      <w:bookmarkStart w:id="36" w:name="_Toc12865324"/>
      <w:r w:rsidRPr="004513D0">
        <w:t>7.</w:t>
      </w:r>
      <w:r w:rsidR="00D73386" w:rsidRPr="004513D0">
        <w:rPr>
          <w:rFonts w:hint="eastAsia"/>
        </w:rPr>
        <w:t>3．</w:t>
      </w:r>
      <w:r w:rsidRPr="004513D0">
        <w:t>病期</w:t>
      </w:r>
      <w:bookmarkEnd w:id="36"/>
    </w:p>
    <w:p w14:paraId="29563279" w14:textId="77777777" w:rsidR="002A69E3" w:rsidRPr="004513D0" w:rsidRDefault="00424D15">
      <w:pPr>
        <w:ind w:firstLine="240"/>
      </w:pPr>
      <w:r w:rsidRPr="004513D0">
        <w:t>病期については、WHO分類（2008）によるCML の病期分類とする</w:t>
      </w:r>
      <w:r w:rsidRPr="004513D0">
        <w:rPr>
          <w:vertAlign w:val="superscript"/>
        </w:rPr>
        <w:t>36</w:t>
      </w:r>
      <w:r w:rsidRPr="004513D0">
        <w:t>。</w:t>
      </w:r>
    </w:p>
    <w:p w14:paraId="6ADB21E6" w14:textId="77777777" w:rsidR="002A69E3" w:rsidRPr="004513D0" w:rsidRDefault="002A69E3">
      <w:pPr>
        <w:rPr>
          <w:b/>
        </w:rPr>
      </w:pPr>
    </w:p>
    <w:p w14:paraId="73B05B81" w14:textId="77777777" w:rsidR="002A69E3" w:rsidRPr="004513D0" w:rsidRDefault="00424D15">
      <w:pPr>
        <w:rPr>
          <w:b/>
          <w:lang w:val="en-US"/>
        </w:rPr>
      </w:pPr>
      <w:r w:rsidRPr="004513D0">
        <w:rPr>
          <w:b/>
          <w:lang w:val="en-US"/>
        </w:rPr>
        <w:t>１）</w:t>
      </w:r>
      <w:r w:rsidRPr="004513D0">
        <w:rPr>
          <w:b/>
        </w:rPr>
        <w:t>慢性期</w:t>
      </w:r>
      <w:r w:rsidRPr="004513D0">
        <w:rPr>
          <w:b/>
          <w:lang w:val="en-US"/>
        </w:rPr>
        <w:t>（chronic phase）</w:t>
      </w:r>
    </w:p>
    <w:p w14:paraId="4FB353E1" w14:textId="77777777" w:rsidR="002A69E3" w:rsidRPr="004513D0" w:rsidRDefault="00424D15">
      <w:r w:rsidRPr="004513D0">
        <w:lastRenderedPageBreak/>
        <w:t>以下の移行期</w:t>
      </w:r>
      <w:r w:rsidR="00FB176D" w:rsidRPr="004513D0">
        <w:rPr>
          <w:rFonts w:hint="eastAsia"/>
        </w:rPr>
        <w:t>、</w:t>
      </w:r>
      <w:r w:rsidRPr="004513D0">
        <w:t>急性転化期を満たさないものとする。</w:t>
      </w:r>
    </w:p>
    <w:p w14:paraId="2DA5CDDC" w14:textId="77777777" w:rsidR="002A69E3" w:rsidRPr="004513D0" w:rsidRDefault="002A69E3"/>
    <w:p w14:paraId="4CD732B5" w14:textId="77777777" w:rsidR="002A69E3" w:rsidRPr="004513D0" w:rsidRDefault="00424D15">
      <w:pPr>
        <w:rPr>
          <w:b/>
          <w:lang w:val="en-US"/>
        </w:rPr>
      </w:pPr>
      <w:r w:rsidRPr="004513D0">
        <w:rPr>
          <w:b/>
          <w:lang w:val="en-US"/>
        </w:rPr>
        <w:t>２）</w:t>
      </w:r>
      <w:r w:rsidRPr="004513D0">
        <w:rPr>
          <w:b/>
        </w:rPr>
        <w:t>移行期</w:t>
      </w:r>
      <w:r w:rsidRPr="004513D0">
        <w:rPr>
          <w:b/>
          <w:lang w:val="en-US"/>
        </w:rPr>
        <w:t>（accelerated phase）</w:t>
      </w:r>
    </w:p>
    <w:p w14:paraId="76C13606" w14:textId="77777777" w:rsidR="002A69E3" w:rsidRPr="004513D0" w:rsidRDefault="00424D15">
      <w:pPr>
        <w:ind w:firstLine="240"/>
        <w:rPr>
          <w:u w:val="single"/>
        </w:rPr>
      </w:pPr>
      <w:r w:rsidRPr="004513D0">
        <w:t>以下のいずれかひとつに該当</w:t>
      </w:r>
    </w:p>
    <w:p w14:paraId="6D427013" w14:textId="53CC5DBF" w:rsidR="002A69E3" w:rsidRPr="004513D0" w:rsidRDefault="00424D15">
      <w:pPr>
        <w:ind w:firstLine="240"/>
      </w:pPr>
      <w:r w:rsidRPr="004513D0">
        <w:t>・末梢血あるいは骨髄中の芽球10 〜19</w:t>
      </w:r>
      <w:r w:rsidR="00722038" w:rsidRPr="004513D0">
        <w:t>％</w:t>
      </w:r>
    </w:p>
    <w:p w14:paraId="28D27853" w14:textId="62354BAA" w:rsidR="002A69E3" w:rsidRPr="004513D0" w:rsidRDefault="00424D15">
      <w:pPr>
        <w:ind w:firstLine="240"/>
      </w:pPr>
      <w:r w:rsidRPr="004513D0">
        <w:t>・末梢血の好塩基球≧20</w:t>
      </w:r>
      <w:r w:rsidR="00722038" w:rsidRPr="004513D0">
        <w:t>％</w:t>
      </w:r>
    </w:p>
    <w:p w14:paraId="2D5EBF87" w14:textId="77777777" w:rsidR="002A69E3" w:rsidRPr="004513D0" w:rsidRDefault="00424D15">
      <w:pPr>
        <w:ind w:firstLine="240"/>
      </w:pPr>
      <w:r w:rsidRPr="004513D0">
        <w:t>・治療とは無関係の持続性血小板減少症（＜100×10</w:t>
      </w:r>
      <w:r w:rsidRPr="004513D0">
        <w:rPr>
          <w:vertAlign w:val="superscript"/>
        </w:rPr>
        <w:t>9</w:t>
      </w:r>
      <w:r w:rsidRPr="004513D0">
        <w:t>/L）</w:t>
      </w:r>
    </w:p>
    <w:p w14:paraId="26E65A70" w14:textId="77777777" w:rsidR="002A69E3" w:rsidRPr="004513D0" w:rsidRDefault="00424D15">
      <w:pPr>
        <w:ind w:firstLine="240"/>
      </w:pPr>
      <w:r w:rsidRPr="004513D0">
        <w:t>・治療が奏効しない血小板増加症（＞1,000×10</w:t>
      </w:r>
      <w:r w:rsidRPr="004513D0">
        <w:rPr>
          <w:vertAlign w:val="superscript"/>
        </w:rPr>
        <w:t>9</w:t>
      </w:r>
      <w:r w:rsidRPr="004513D0">
        <w:t>/L）</w:t>
      </w:r>
    </w:p>
    <w:p w14:paraId="6E283D99" w14:textId="77777777" w:rsidR="002A69E3" w:rsidRPr="004513D0" w:rsidRDefault="00424D15">
      <w:pPr>
        <w:ind w:left="460" w:hanging="240"/>
      </w:pPr>
      <w:r w:rsidRPr="004513D0">
        <w:t>・治療が奏効しない白血球数の増加と脾臓サイズの増加</w:t>
      </w:r>
    </w:p>
    <w:p w14:paraId="18CFF84B" w14:textId="77777777" w:rsidR="002A69E3" w:rsidRPr="004513D0" w:rsidRDefault="00424D15">
      <w:pPr>
        <w:ind w:firstLine="240"/>
      </w:pPr>
      <w:r w:rsidRPr="004513D0">
        <w:t>・治療中のCCA/Ph＋</w:t>
      </w:r>
    </w:p>
    <w:p w14:paraId="7D750353" w14:textId="77777777" w:rsidR="002A69E3" w:rsidRPr="004513D0" w:rsidRDefault="002A69E3"/>
    <w:p w14:paraId="0D0D7C32" w14:textId="77777777" w:rsidR="002A69E3" w:rsidRPr="004513D0" w:rsidRDefault="00424D15">
      <w:pPr>
        <w:rPr>
          <w:b/>
        </w:rPr>
      </w:pPr>
      <w:r w:rsidRPr="004513D0">
        <w:rPr>
          <w:b/>
        </w:rPr>
        <w:t>３）急性転化期（blast phase）</w:t>
      </w:r>
    </w:p>
    <w:p w14:paraId="59623326" w14:textId="77777777" w:rsidR="002A69E3" w:rsidRPr="004513D0" w:rsidRDefault="00424D15">
      <w:pPr>
        <w:ind w:firstLine="240"/>
      </w:pPr>
      <w:r w:rsidRPr="004513D0">
        <w:t>以下のいずれかひとつに該当</w:t>
      </w:r>
    </w:p>
    <w:p w14:paraId="2751205B" w14:textId="31A4AC73" w:rsidR="002A69E3" w:rsidRPr="004513D0" w:rsidRDefault="00424D15">
      <w:pPr>
        <w:ind w:firstLine="240"/>
      </w:pPr>
      <w:r w:rsidRPr="004513D0">
        <w:t>・末梢血あるいは骨髄の芽球≧20</w:t>
      </w:r>
      <w:r w:rsidR="00722038" w:rsidRPr="004513D0">
        <w:t>％</w:t>
      </w:r>
    </w:p>
    <w:p w14:paraId="6E531DF2" w14:textId="77777777" w:rsidR="002A69E3" w:rsidRPr="004513D0" w:rsidRDefault="00424D15">
      <w:pPr>
        <w:ind w:firstLine="240"/>
      </w:pPr>
      <w:r w:rsidRPr="004513D0">
        <w:t>・脾臓以外の骨髄外芽細胞の増殖</w:t>
      </w:r>
    </w:p>
    <w:p w14:paraId="05B0B36B" w14:textId="77777777" w:rsidR="002A69E3" w:rsidRPr="004513D0" w:rsidRDefault="00424D15">
      <w:pPr>
        <w:ind w:firstLine="240"/>
      </w:pPr>
      <w:r w:rsidRPr="004513D0">
        <w:t>・骨髄生検における大きな病巣または芽球の大きな集積像を認める</w:t>
      </w:r>
    </w:p>
    <w:p w14:paraId="66DFD5ED" w14:textId="77777777" w:rsidR="002A69E3" w:rsidRPr="004513D0" w:rsidRDefault="002A69E3"/>
    <w:p w14:paraId="341EDEEF" w14:textId="15787CA4" w:rsidR="002A69E3" w:rsidRPr="004513D0" w:rsidRDefault="00424D15">
      <w:pPr>
        <w:pStyle w:val="2"/>
      </w:pPr>
      <w:bookmarkStart w:id="37" w:name="_Toc12865325"/>
      <w:r w:rsidRPr="004513D0">
        <w:t>7.</w:t>
      </w:r>
      <w:r w:rsidR="00D73386" w:rsidRPr="004513D0">
        <w:rPr>
          <w:rFonts w:hint="eastAsia"/>
        </w:rPr>
        <w:t>4</w:t>
      </w:r>
      <w:r w:rsidRPr="004513D0">
        <w:t>．Sokal score</w:t>
      </w:r>
      <w:bookmarkEnd w:id="37"/>
      <w:r w:rsidRPr="004513D0">
        <w:t xml:space="preserve"> </w:t>
      </w:r>
    </w:p>
    <w:p w14:paraId="1F5B37A4" w14:textId="460E5166" w:rsidR="002A69E3" w:rsidRPr="004513D0" w:rsidRDefault="00424D15">
      <w:pPr>
        <w:ind w:left="220"/>
      </w:pPr>
      <w:r w:rsidRPr="004513D0">
        <w:t>Sokal scoreはCML診断確定日の年齢（歳）、脾腫（季肋下cm）、末梢血芽球（</w:t>
      </w:r>
      <w:r w:rsidR="00722038" w:rsidRPr="004513D0">
        <w:t>％</w:t>
      </w:r>
      <w:r w:rsidRPr="004513D0">
        <w:t>）、血小板数（×10</w:t>
      </w:r>
      <w:r w:rsidRPr="004513D0">
        <w:rPr>
          <w:vertAlign w:val="superscript"/>
        </w:rPr>
        <w:t>9</w:t>
      </w:r>
      <w:r w:rsidRPr="004513D0">
        <w:t>/L） の4因子を用いて下記の計算式で計算する</w:t>
      </w:r>
      <w:r w:rsidRPr="004513D0">
        <w:rPr>
          <w:vertAlign w:val="superscript"/>
        </w:rPr>
        <w:t>1</w:t>
      </w:r>
      <w:r w:rsidRPr="004513D0">
        <w:t>。</w:t>
      </w:r>
    </w:p>
    <w:p w14:paraId="097246A1" w14:textId="77777777" w:rsidR="002A69E3" w:rsidRPr="004513D0" w:rsidRDefault="00424D15">
      <w:pPr>
        <w:ind w:left="220"/>
      </w:pPr>
      <w:r w:rsidRPr="004513D0">
        <w:t>Sokal score（hazard ratio） ＝ EXP｛ 0.0116（age－43.4）＋0.0345（spleen－7.51）</w:t>
      </w:r>
    </w:p>
    <w:p w14:paraId="000C3CE0" w14:textId="77777777" w:rsidR="002A69E3" w:rsidRPr="004513D0" w:rsidRDefault="00424D15">
      <w:pPr>
        <w:ind w:left="220"/>
      </w:pPr>
      <w:r w:rsidRPr="004513D0">
        <w:t>＋0.188［（platelet/700）</w:t>
      </w:r>
      <w:r w:rsidRPr="004513D0">
        <w:rPr>
          <w:vertAlign w:val="superscript"/>
        </w:rPr>
        <w:t>2</w:t>
      </w:r>
      <w:r w:rsidRPr="004513D0">
        <w:t>－0.563＋0.0887（blasts－2.10）］｝</w:t>
      </w:r>
    </w:p>
    <w:p w14:paraId="7087FB32" w14:textId="77777777" w:rsidR="002A69E3" w:rsidRPr="004513D0" w:rsidRDefault="002A69E3"/>
    <w:p w14:paraId="2BBC923F" w14:textId="2E5599B6" w:rsidR="002A69E3" w:rsidRPr="004513D0" w:rsidRDefault="00424D15">
      <w:pPr>
        <w:pStyle w:val="2"/>
        <w:rPr>
          <w:lang w:val="en-US"/>
        </w:rPr>
      </w:pPr>
      <w:bookmarkStart w:id="38" w:name="_Toc12865326"/>
      <w:r w:rsidRPr="004513D0">
        <w:rPr>
          <w:lang w:val="en-US"/>
        </w:rPr>
        <w:t>7.</w:t>
      </w:r>
      <w:r w:rsidR="00D73386" w:rsidRPr="004513D0">
        <w:rPr>
          <w:rFonts w:hint="eastAsia"/>
          <w:lang w:val="en-US"/>
        </w:rPr>
        <w:t>5</w:t>
      </w:r>
      <w:r w:rsidRPr="004513D0">
        <w:rPr>
          <w:lang w:val="en-US"/>
        </w:rPr>
        <w:t>．ELTS（EUTOS Long-Term Survival）score</w:t>
      </w:r>
      <w:bookmarkEnd w:id="38"/>
      <w:r w:rsidRPr="004513D0">
        <w:rPr>
          <w:lang w:val="en-US"/>
        </w:rPr>
        <w:t xml:space="preserve"> </w:t>
      </w:r>
    </w:p>
    <w:p w14:paraId="7C433D58" w14:textId="7C6A1308" w:rsidR="002A69E3" w:rsidRPr="004513D0" w:rsidRDefault="00424D15">
      <w:pPr>
        <w:ind w:left="220"/>
      </w:pPr>
      <w:r w:rsidRPr="004513D0">
        <w:t>ELTS scoreはCML診断確定日の年齢、脾腫（肋骨弓下cm）、末梢血芽球（</w:t>
      </w:r>
      <w:r w:rsidR="00722038" w:rsidRPr="004513D0">
        <w:t>％</w:t>
      </w:r>
      <w:r w:rsidRPr="004513D0">
        <w:t>）、血小板数の4 因子を用いて下記の計算式で計算される</w:t>
      </w:r>
      <w:r w:rsidRPr="004513D0">
        <w:rPr>
          <w:vertAlign w:val="superscript"/>
        </w:rPr>
        <w:t>2</w:t>
      </w:r>
      <w:r w:rsidRPr="004513D0">
        <w:t>。</w:t>
      </w:r>
    </w:p>
    <w:p w14:paraId="3A955D98" w14:textId="77777777" w:rsidR="002A69E3" w:rsidRPr="004513D0" w:rsidRDefault="00424D15">
      <w:pPr>
        <w:ind w:left="220"/>
        <w:rPr>
          <w:lang w:val="en-US"/>
        </w:rPr>
      </w:pPr>
      <w:r w:rsidRPr="004513D0">
        <w:rPr>
          <w:lang w:val="en-US"/>
        </w:rPr>
        <w:t>ELTS score = 0.0025 x (age in completed years/10)</w:t>
      </w:r>
      <w:r w:rsidRPr="004513D0">
        <w:rPr>
          <w:vertAlign w:val="superscript"/>
          <w:lang w:val="en-US"/>
        </w:rPr>
        <w:t xml:space="preserve">3 </w:t>
      </w:r>
      <w:r w:rsidRPr="004513D0">
        <w:rPr>
          <w:lang w:val="en-US"/>
        </w:rPr>
        <w:t>+ 0.0615 x spleen size below costal margin + 0.1052 x blasts in peripheral blood + 0.4104 x (platelet count/1000)</w:t>
      </w:r>
      <w:r w:rsidRPr="004513D0">
        <w:rPr>
          <w:vertAlign w:val="superscript"/>
          <w:lang w:val="en-US"/>
        </w:rPr>
        <w:t>-0.5</w:t>
      </w:r>
    </w:p>
    <w:p w14:paraId="0F34572E" w14:textId="77777777" w:rsidR="002A69E3" w:rsidRPr="004513D0" w:rsidRDefault="002A69E3">
      <w:pPr>
        <w:ind w:left="220"/>
        <w:rPr>
          <w:lang w:val="en-US"/>
        </w:rPr>
      </w:pPr>
    </w:p>
    <w:p w14:paraId="660133B6" w14:textId="0C6911A5" w:rsidR="002A69E3" w:rsidRPr="004513D0" w:rsidRDefault="00424D15">
      <w:pPr>
        <w:pStyle w:val="2"/>
      </w:pPr>
      <w:bookmarkStart w:id="39" w:name="_Toc12865327"/>
      <w:r w:rsidRPr="004513D0">
        <w:t>7.</w:t>
      </w:r>
      <w:r w:rsidR="00D73386" w:rsidRPr="004513D0">
        <w:rPr>
          <w:rFonts w:hint="eastAsia"/>
        </w:rPr>
        <w:t>6</w:t>
      </w:r>
      <w:r w:rsidRPr="004513D0">
        <w:t>．Hasford score</w:t>
      </w:r>
      <w:bookmarkEnd w:id="39"/>
    </w:p>
    <w:p w14:paraId="5729A934" w14:textId="3CCD83FC" w:rsidR="002A69E3" w:rsidRPr="004513D0" w:rsidRDefault="00424D15">
      <w:r w:rsidRPr="004513D0">
        <w:t>Hasford score は診断確定日の年齢、脾腫（肋骨弓下cm）、末梢血芽球（</w:t>
      </w:r>
      <w:r w:rsidR="00722038" w:rsidRPr="004513D0">
        <w:t>％</w:t>
      </w:r>
      <w:r w:rsidRPr="004513D0">
        <w:t>）、血小板数、末梢血好酸球比率（</w:t>
      </w:r>
      <w:r w:rsidR="00722038" w:rsidRPr="004513D0">
        <w:t>％</w:t>
      </w:r>
      <w:r w:rsidRPr="004513D0">
        <w:t xml:space="preserve"> of 白血球）、末梢血好塩基球比率（</w:t>
      </w:r>
      <w:r w:rsidR="00722038" w:rsidRPr="004513D0">
        <w:t>％</w:t>
      </w:r>
      <w:r w:rsidRPr="004513D0">
        <w:t xml:space="preserve"> of 白血球）の6 因子を用いて下記の計算式で計算される</w:t>
      </w:r>
      <w:r w:rsidRPr="004513D0">
        <w:rPr>
          <w:vertAlign w:val="superscript"/>
        </w:rPr>
        <w:t>3</w:t>
      </w:r>
      <w:r w:rsidRPr="004513D0">
        <w:t>。</w:t>
      </w:r>
    </w:p>
    <w:p w14:paraId="744D12CB" w14:textId="61478DC9" w:rsidR="002A69E3" w:rsidRPr="004513D0" w:rsidRDefault="00424D15">
      <w:pPr>
        <w:rPr>
          <w:lang w:val="en-US"/>
        </w:rPr>
      </w:pPr>
      <w:r w:rsidRPr="004513D0">
        <w:rPr>
          <w:lang w:val="en-US"/>
        </w:rPr>
        <w:t xml:space="preserve">[(0.6666 x age [0 when age &lt; 50 years; 1 otherwise]) + (0.0420 x spleen </w:t>
      </w:r>
      <w:r w:rsidRPr="004513D0">
        <w:rPr>
          <w:lang w:val="en-US"/>
        </w:rPr>
        <w:lastRenderedPageBreak/>
        <w:t>size [cm]) + (0.0584 x blasts [</w:t>
      </w:r>
      <w:r w:rsidR="00722038" w:rsidRPr="004513D0">
        <w:rPr>
          <w:lang w:val="en-US"/>
        </w:rPr>
        <w:t>％</w:t>
      </w:r>
      <w:r w:rsidRPr="004513D0">
        <w:rPr>
          <w:lang w:val="en-US"/>
        </w:rPr>
        <w:t>]) + (0.0413 x eosinophils [</w:t>
      </w:r>
      <w:r w:rsidR="00722038" w:rsidRPr="004513D0">
        <w:rPr>
          <w:lang w:val="en-US"/>
        </w:rPr>
        <w:t>％</w:t>
      </w:r>
      <w:r w:rsidRPr="004513D0">
        <w:rPr>
          <w:lang w:val="en-US"/>
        </w:rPr>
        <w:t>]) + (0.2039 x basophils [0 when basophils &lt; 3</w:t>
      </w:r>
      <w:r w:rsidR="00722038" w:rsidRPr="004513D0">
        <w:rPr>
          <w:lang w:val="en-US"/>
        </w:rPr>
        <w:t>％</w:t>
      </w:r>
      <w:r w:rsidRPr="004513D0">
        <w:rPr>
          <w:lang w:val="en-US"/>
        </w:rPr>
        <w:t>; 1 otherwise]) + (1.0956 x platelet count [0 when platelets &lt; 1500 x 10</w:t>
      </w:r>
      <w:r w:rsidRPr="004513D0">
        <w:rPr>
          <w:vertAlign w:val="superscript"/>
          <w:lang w:val="en-US"/>
        </w:rPr>
        <w:t>9</w:t>
      </w:r>
      <w:r w:rsidRPr="004513D0">
        <w:rPr>
          <w:lang w:val="en-US"/>
        </w:rPr>
        <w:t>/L; 1 otherwise]) x 1000]</w:t>
      </w:r>
    </w:p>
    <w:p w14:paraId="4BD6ECF5" w14:textId="77777777" w:rsidR="002A69E3" w:rsidRPr="004513D0" w:rsidRDefault="002A69E3">
      <w:pPr>
        <w:rPr>
          <w:b/>
          <w:lang w:val="en-US"/>
        </w:rPr>
      </w:pPr>
    </w:p>
    <w:p w14:paraId="3F4FB2E8" w14:textId="77777777" w:rsidR="002A69E3" w:rsidRPr="00745C4B" w:rsidRDefault="002A69E3">
      <w:pPr>
        <w:jc w:val="left"/>
        <w:rPr>
          <w:lang w:val="en-US"/>
        </w:rPr>
      </w:pPr>
    </w:p>
    <w:p w14:paraId="6F8F3B01" w14:textId="77777777" w:rsidR="002A69E3" w:rsidRPr="004513D0" w:rsidRDefault="00424D15">
      <w:pPr>
        <w:pStyle w:val="1"/>
      </w:pPr>
      <w:bookmarkStart w:id="40" w:name="_Toc12865328"/>
      <w:r w:rsidRPr="004513D0">
        <w:t>8. 評価項目における定義</w:t>
      </w:r>
      <w:bookmarkEnd w:id="40"/>
    </w:p>
    <w:p w14:paraId="64D79590" w14:textId="77777777" w:rsidR="002A69E3" w:rsidRPr="004513D0" w:rsidRDefault="00424D15">
      <w:pPr>
        <w:pStyle w:val="2"/>
      </w:pPr>
      <w:bookmarkStart w:id="41" w:name="_Toc12865329"/>
      <w:r w:rsidRPr="004513D0">
        <w:t>8.1．無治療寛解 (TFR；Treatment-free remission)</w:t>
      </w:r>
      <w:bookmarkEnd w:id="41"/>
    </w:p>
    <w:p w14:paraId="3D91AD6C" w14:textId="77777777" w:rsidR="002A69E3" w:rsidRPr="004513D0" w:rsidRDefault="00424D15">
      <w:pPr>
        <w:ind w:firstLine="240"/>
      </w:pPr>
      <w:r w:rsidRPr="004513D0">
        <w:t>TKI治療を中止したのち、MMR以上の治療効果を維持し、かつTKIを再開していない状態のこと。</w:t>
      </w:r>
    </w:p>
    <w:p w14:paraId="18B6E898" w14:textId="77777777" w:rsidR="002A69E3" w:rsidRPr="004513D0" w:rsidRDefault="002A69E3">
      <w:pPr>
        <w:rPr>
          <w:b/>
        </w:rPr>
      </w:pPr>
    </w:p>
    <w:p w14:paraId="3C05D953" w14:textId="77777777" w:rsidR="002A69E3" w:rsidRPr="004513D0" w:rsidRDefault="00424D15">
      <w:pPr>
        <w:pStyle w:val="2"/>
      </w:pPr>
      <w:bookmarkStart w:id="42" w:name="_Toc12865330"/>
      <w:r w:rsidRPr="004513D0">
        <w:t>8.2．Progression Free Survival</w:t>
      </w:r>
      <w:bookmarkEnd w:id="42"/>
    </w:p>
    <w:p w14:paraId="476F1148" w14:textId="77777777" w:rsidR="002A69E3" w:rsidRPr="004513D0" w:rsidRDefault="00424D15">
      <w:pPr>
        <w:ind w:firstLine="240"/>
      </w:pPr>
      <w:r w:rsidRPr="004513D0">
        <w:t>TKIを中止した日を起算日とし、AP/BCへの進展までの期間。</w:t>
      </w:r>
    </w:p>
    <w:p w14:paraId="0AF6BF9E" w14:textId="77777777" w:rsidR="002A69E3" w:rsidRPr="004513D0" w:rsidRDefault="00424D15">
      <w:pPr>
        <w:numPr>
          <w:ilvl w:val="0"/>
          <w:numId w:val="9"/>
        </w:numPr>
        <w:pBdr>
          <w:top w:val="nil"/>
          <w:left w:val="nil"/>
          <w:bottom w:val="nil"/>
          <w:right w:val="nil"/>
          <w:between w:val="nil"/>
        </w:pBdr>
        <w:spacing w:line="240" w:lineRule="auto"/>
      </w:pPr>
      <w:r w:rsidRPr="004513D0">
        <w:t>生存例では最終生存確認日を打ち切りとする（電話連絡による生存確認も可）。</w:t>
      </w:r>
    </w:p>
    <w:p w14:paraId="3721B650" w14:textId="77777777" w:rsidR="002A69E3" w:rsidRPr="004513D0" w:rsidRDefault="00424D15">
      <w:pPr>
        <w:numPr>
          <w:ilvl w:val="0"/>
          <w:numId w:val="9"/>
        </w:numPr>
        <w:pBdr>
          <w:top w:val="nil"/>
          <w:left w:val="nil"/>
          <w:bottom w:val="nil"/>
          <w:right w:val="nil"/>
          <w:between w:val="nil"/>
        </w:pBdr>
        <w:spacing w:line="240" w:lineRule="auto"/>
      </w:pPr>
      <w:r w:rsidRPr="004513D0">
        <w:t>追跡不能例では追跡不能となる以前で生存が確認されていた最終日を打ち切りとする。</w:t>
      </w:r>
    </w:p>
    <w:p w14:paraId="235BF175" w14:textId="77777777" w:rsidR="002A69E3" w:rsidRPr="004513D0" w:rsidRDefault="002A69E3">
      <w:pPr>
        <w:ind w:firstLine="240"/>
      </w:pPr>
    </w:p>
    <w:p w14:paraId="194AD98B" w14:textId="77777777" w:rsidR="002A69E3" w:rsidRPr="004513D0" w:rsidRDefault="00424D15">
      <w:pPr>
        <w:pStyle w:val="2"/>
      </w:pPr>
      <w:bookmarkStart w:id="43" w:name="_Toc12865331"/>
      <w:r w:rsidRPr="004513D0">
        <w:t>8.3．TKI中止後の無治療期間（TFS：Treatment free survival）</w:t>
      </w:r>
      <w:bookmarkEnd w:id="43"/>
    </w:p>
    <w:p w14:paraId="67885A46" w14:textId="77777777" w:rsidR="002A69E3" w:rsidRPr="004513D0" w:rsidRDefault="00424D15">
      <w:pPr>
        <w:ind w:firstLine="240"/>
      </w:pPr>
      <w:r w:rsidRPr="004513D0">
        <w:t>TKIを中止した日を起算日とし、TFRを失うまでの期間。</w:t>
      </w:r>
    </w:p>
    <w:p w14:paraId="74FC12C8" w14:textId="77777777" w:rsidR="002A69E3" w:rsidRPr="004513D0" w:rsidRDefault="00424D15">
      <w:pPr>
        <w:numPr>
          <w:ilvl w:val="0"/>
          <w:numId w:val="10"/>
        </w:numPr>
        <w:pBdr>
          <w:top w:val="nil"/>
          <w:left w:val="nil"/>
          <w:bottom w:val="nil"/>
          <w:right w:val="nil"/>
          <w:between w:val="nil"/>
        </w:pBdr>
        <w:spacing w:line="240" w:lineRule="auto"/>
      </w:pPr>
      <w:r w:rsidRPr="004513D0">
        <w:t>生存例では最終生存確認日を打ち切りとする（電話連絡による生存確認も可）。</w:t>
      </w:r>
    </w:p>
    <w:p w14:paraId="05697D51" w14:textId="77777777" w:rsidR="002A69E3" w:rsidRPr="004513D0" w:rsidRDefault="00424D15">
      <w:pPr>
        <w:numPr>
          <w:ilvl w:val="0"/>
          <w:numId w:val="10"/>
        </w:numPr>
        <w:spacing w:line="240" w:lineRule="auto"/>
      </w:pPr>
      <w:r w:rsidRPr="004513D0">
        <w:t>追跡不能例では追跡不能となる以前で生存が確認されていた最終日を打ち切りとする。</w:t>
      </w:r>
    </w:p>
    <w:p w14:paraId="3AF94D3D" w14:textId="77777777" w:rsidR="002A69E3" w:rsidRPr="004513D0" w:rsidRDefault="002A69E3"/>
    <w:p w14:paraId="0914FB93" w14:textId="77777777" w:rsidR="002A69E3" w:rsidRPr="004513D0" w:rsidRDefault="00424D15">
      <w:pPr>
        <w:pStyle w:val="1"/>
      </w:pPr>
      <w:bookmarkStart w:id="44" w:name="_Toc12865332"/>
      <w:r w:rsidRPr="004513D0">
        <w:t>9．統計的事項</w:t>
      </w:r>
      <w:bookmarkEnd w:id="44"/>
    </w:p>
    <w:p w14:paraId="0503E4C9" w14:textId="77777777" w:rsidR="002A69E3" w:rsidRPr="004513D0" w:rsidRDefault="00424D15">
      <w:pPr>
        <w:pStyle w:val="2"/>
      </w:pPr>
      <w:bookmarkStart w:id="45" w:name="_Toc12865333"/>
      <w:r w:rsidRPr="004513D0">
        <w:t>9.1. 解析方法</w:t>
      </w:r>
      <w:bookmarkEnd w:id="45"/>
      <w:r w:rsidRPr="004513D0">
        <w:t xml:space="preserve"> </w:t>
      </w:r>
    </w:p>
    <w:p w14:paraId="016CB735" w14:textId="77777777" w:rsidR="002A69E3" w:rsidRPr="004513D0" w:rsidRDefault="00424D15">
      <w:pPr>
        <w:ind w:firstLine="240"/>
      </w:pPr>
      <w:bookmarkStart w:id="46" w:name="_28h4qwu" w:colFirst="0" w:colLast="0"/>
      <w:bookmarkEnd w:id="46"/>
      <w:r w:rsidRPr="004513D0">
        <w:t>本研究における解析は、データベース固定前に最終とする「統計解析計画書」に従う。統計解析計画書は統計解析責任者が作成する。実施責任組織が確認後、研究代表者が最終決定する。統計解析結果は統計解析報告書にまとめる。統計解析計画書からの逸脱、論文作成または学会報告にあたり追加解析を行った場合には、その旨を統計解析報告書に記載する。解析方針は以下のとおりとする。</w:t>
      </w:r>
    </w:p>
    <w:p w14:paraId="42BD2AF8" w14:textId="77777777" w:rsidR="002A69E3" w:rsidRPr="004513D0" w:rsidRDefault="002A69E3"/>
    <w:p w14:paraId="6E264735" w14:textId="77777777" w:rsidR="002A69E3" w:rsidRPr="00F15087" w:rsidRDefault="00424D15">
      <w:pPr>
        <w:pStyle w:val="3"/>
        <w:rPr>
          <w:u w:val="single"/>
        </w:rPr>
      </w:pPr>
      <w:bookmarkStart w:id="47" w:name="_Toc12865334"/>
      <w:r w:rsidRPr="00F15087">
        <w:rPr>
          <w:u w:val="single"/>
        </w:rPr>
        <w:t>9.1.1. 主要評価項目の解析</w:t>
      </w:r>
      <w:bookmarkEnd w:id="47"/>
    </w:p>
    <w:p w14:paraId="4038BCE2" w14:textId="5B87010F" w:rsidR="002A69E3" w:rsidRPr="004513D0" w:rsidRDefault="00424D15" w:rsidP="004E09BB">
      <w:pPr>
        <w:ind w:firstLine="240"/>
      </w:pPr>
      <w:r w:rsidRPr="004513D0">
        <w:t>本研究の主要評価項目解析の目的は、TKI中止後5年時点のTFR維持率を評価することである。TKI中止後5年時点のTFR維持率は、TKI中止後5年の間にMMR以上の治療効果を維持し、かつTKIを再開していない患者数を、TKIを中止した患者の集団で除した値として定義する。解析対象集団は本研究に登録した患者集</w:t>
      </w:r>
      <w:r w:rsidRPr="004513D0">
        <w:lastRenderedPageBreak/>
        <w:t>団とし、60ヶ月時点での検査がされていない場合には、failureとして扱う。また、同意撤回例はfailureとして扱う。</w:t>
      </w:r>
    </w:p>
    <w:p w14:paraId="5BB2EDFC" w14:textId="77777777" w:rsidR="002A69E3" w:rsidRPr="004513D0" w:rsidRDefault="00424D15">
      <w:pPr>
        <w:ind w:firstLine="240"/>
      </w:pPr>
      <w:r w:rsidRPr="004513D0">
        <w:t>なお、本研究では、過去のTKI中止症例を含めすべてのTKI中止症例の情報を収集するため、2回目のTKI中止など複数回TKI中止症例についても対象となる。過去のTKI中止は個別に登録されるが、症例番号を統一し（J-SKI 1038-2: 症例1038番の2回目のTKI中止case、J-SKI-0751-1: 症例0751番の1回目のTKI中止case）解析時、初回TKI中止のみの検討で主要評価項目のTKI休薬後5年時点のTFR維持率を評価する。また、複数回のTKI中止症例を含む全ての中止症例の解析と複数回TKI中止症例のみの解析も別途行う。</w:t>
      </w:r>
    </w:p>
    <w:p w14:paraId="7A60CC1D" w14:textId="77777777" w:rsidR="002A69E3" w:rsidRPr="004513D0" w:rsidRDefault="002A69E3">
      <w:pPr>
        <w:ind w:left="220" w:firstLine="480"/>
      </w:pPr>
    </w:p>
    <w:p w14:paraId="6E836021" w14:textId="77777777" w:rsidR="002A69E3" w:rsidRPr="00F12244" w:rsidRDefault="00424D15">
      <w:pPr>
        <w:pStyle w:val="3"/>
        <w:rPr>
          <w:u w:val="single"/>
        </w:rPr>
      </w:pPr>
      <w:bookmarkStart w:id="48" w:name="_Toc12865335"/>
      <w:r w:rsidRPr="00F12244">
        <w:rPr>
          <w:u w:val="single"/>
        </w:rPr>
        <w:t>9.1.2. 副次的評価項目の解析</w:t>
      </w:r>
      <w:bookmarkEnd w:id="48"/>
    </w:p>
    <w:p w14:paraId="410BCBE6" w14:textId="5D942542" w:rsidR="002A69E3" w:rsidRPr="004513D0" w:rsidRDefault="00424D15">
      <w:pPr>
        <w:ind w:left="220" w:firstLine="240"/>
      </w:pPr>
      <w:r w:rsidRPr="004513D0">
        <w:t>TFR喪失患者に対するTKI再投与後の累積MMR再獲得率、TKI中止後のTFS、PFSをKaplan-Meier 法を用いて推定する。中央値の95</w:t>
      </w:r>
      <w:r w:rsidR="00722038" w:rsidRPr="004513D0">
        <w:t>％</w:t>
      </w:r>
      <w:r w:rsidRPr="004513D0">
        <w:t>信頼区間の推定にはBrookmeyer およびCrowleyの方法を用いる。</w:t>
      </w:r>
    </w:p>
    <w:p w14:paraId="7C99FE68" w14:textId="77777777" w:rsidR="002A69E3" w:rsidRPr="004513D0" w:rsidRDefault="00424D15">
      <w:pPr>
        <w:ind w:left="220" w:firstLine="240"/>
      </w:pPr>
      <w:r w:rsidRPr="004513D0">
        <w:t>TKI中止後10年時点でのTFR維持率についても5年目時点と同様に算出する。</w:t>
      </w:r>
    </w:p>
    <w:p w14:paraId="3AC1E367" w14:textId="77777777" w:rsidR="002A69E3" w:rsidRPr="00EE404E" w:rsidRDefault="002A69E3">
      <w:pPr>
        <w:ind w:left="220" w:firstLine="480"/>
      </w:pPr>
    </w:p>
    <w:p w14:paraId="3B3DB791" w14:textId="77777777" w:rsidR="002A69E3" w:rsidRPr="00F12244" w:rsidRDefault="00424D15">
      <w:pPr>
        <w:pStyle w:val="3"/>
        <w:rPr>
          <w:u w:val="single"/>
        </w:rPr>
      </w:pPr>
      <w:bookmarkStart w:id="49" w:name="_Toc12865336"/>
      <w:r w:rsidRPr="00F12244">
        <w:rPr>
          <w:u w:val="single"/>
        </w:rPr>
        <w:t>9.1.3．探索的評価項目の解析</w:t>
      </w:r>
      <w:bookmarkEnd w:id="49"/>
    </w:p>
    <w:p w14:paraId="49B804A6" w14:textId="45C5BD9B" w:rsidR="002A69E3" w:rsidRPr="004513D0" w:rsidRDefault="00424D15">
      <w:pPr>
        <w:ind w:firstLine="240"/>
      </w:pPr>
      <w:r w:rsidRPr="004513D0">
        <w:t>TFR維持率に影響するリスク因子を検討するために、初診時のリスク（Sokal、ELTS、Hasford score）、前治療、薬剤投与期間、MMR/DMR達成時期、MMR/DMR達成期間、その他の患者背景とTFR維持率の関連について解析する。この解析ではTFR維持率と各因子との関連を単変量、および多変量解析を用いて解析する。また、TKI再投与後の累積MMR再獲得率、PFSやTFSがTFR維持率に関連していた因子により異なるかについての層別解析を行う。この検定には両側有意水準5</w:t>
      </w:r>
      <w:r w:rsidR="00722038" w:rsidRPr="004513D0">
        <w:t>％</w:t>
      </w:r>
      <w:r w:rsidRPr="004513D0">
        <w:t xml:space="preserve">のログランク検定を用いる。　</w:t>
      </w:r>
    </w:p>
    <w:p w14:paraId="4C67355E" w14:textId="77777777" w:rsidR="002A69E3" w:rsidRPr="004513D0" w:rsidRDefault="002A69E3">
      <w:pPr>
        <w:ind w:left="220" w:firstLine="480"/>
      </w:pPr>
    </w:p>
    <w:p w14:paraId="2E773BC7" w14:textId="65088868" w:rsidR="002A69E3" w:rsidRPr="00F12244" w:rsidRDefault="00424D15">
      <w:pPr>
        <w:pStyle w:val="3"/>
        <w:rPr>
          <w:u w:val="single"/>
        </w:rPr>
      </w:pPr>
      <w:bookmarkStart w:id="50" w:name="_Toc12865337"/>
      <w:r w:rsidRPr="00F12244">
        <w:rPr>
          <w:u w:val="single"/>
        </w:rPr>
        <w:t>9.1.4．中間</w:t>
      </w:r>
      <w:r w:rsidR="003C44BB">
        <w:rPr>
          <w:rFonts w:hint="eastAsia"/>
          <w:u w:val="single"/>
        </w:rPr>
        <w:t>報告</w:t>
      </w:r>
      <w:r w:rsidRPr="00F12244">
        <w:rPr>
          <w:u w:val="single"/>
        </w:rPr>
        <w:t>と年次報告</w:t>
      </w:r>
      <w:bookmarkEnd w:id="50"/>
    </w:p>
    <w:p w14:paraId="2F3D18F6" w14:textId="58B3545D" w:rsidR="002A69E3" w:rsidRPr="004513D0" w:rsidRDefault="00424D15">
      <w:pPr>
        <w:ind w:firstLine="240"/>
      </w:pPr>
      <w:r w:rsidRPr="004513D0">
        <w:t>本研究の途中で、本研究の主たる目的が達成されているかを判断する目的で2024年9月30日のデータ固定後に中間</w:t>
      </w:r>
      <w:r w:rsidR="003C44BB">
        <w:rPr>
          <w:rFonts w:hint="eastAsia"/>
        </w:rPr>
        <w:t>報告</w:t>
      </w:r>
      <w:r w:rsidRPr="004513D0">
        <w:t>を行う。また、登録を継続することが妥当かどうかを判断する目的で登録から４年間は毎年9月のスナップショットを用いて主要評価項目について年次報告を行う。</w:t>
      </w:r>
    </w:p>
    <w:p w14:paraId="55F35CC6" w14:textId="77777777" w:rsidR="002A69E3" w:rsidRPr="004513D0" w:rsidRDefault="002A69E3"/>
    <w:p w14:paraId="743AF5BD" w14:textId="7AF44031" w:rsidR="002A69E3" w:rsidRDefault="00424D15">
      <w:pPr>
        <w:pStyle w:val="2"/>
      </w:pPr>
      <w:bookmarkStart w:id="51" w:name="_Toc12865338"/>
      <w:r w:rsidRPr="004513D0">
        <w:t>9.2. 目標症例数1200例の根拠</w:t>
      </w:r>
      <w:bookmarkEnd w:id="51"/>
    </w:p>
    <w:p w14:paraId="074F814E" w14:textId="42C8B90A" w:rsidR="00A66D01" w:rsidRPr="00A66D01" w:rsidRDefault="00203EF2" w:rsidP="001828A4">
      <w:pPr>
        <w:ind w:firstLineChars="100" w:firstLine="240"/>
      </w:pPr>
      <w:r w:rsidRPr="0018168D">
        <w:t>フランスにおけるTKI　Stop臨床試験（STIM1）の12ヶ月TFR</w:t>
      </w:r>
      <w:r w:rsidRPr="0018168D">
        <w:rPr>
          <w:rFonts w:hint="eastAsia"/>
        </w:rPr>
        <w:t>率</w:t>
      </w:r>
      <w:r w:rsidRPr="0018168D">
        <w:t>が41％ (95％ CI, 29-52％)であり、長期フォローアップの5年TFR</w:t>
      </w:r>
      <w:r w:rsidRPr="0018168D">
        <w:rPr>
          <w:rFonts w:hint="eastAsia"/>
        </w:rPr>
        <w:t>率</w:t>
      </w:r>
      <w:r w:rsidRPr="0018168D">
        <w:t>は38％ (95％CI, 29-47)であった</w:t>
      </w:r>
      <w:r w:rsidR="002351AD">
        <w:rPr>
          <w:rFonts w:hint="eastAsia"/>
          <w:vertAlign w:val="superscript"/>
        </w:rPr>
        <w:t>4</w:t>
      </w:r>
      <w:r w:rsidRPr="0018168D">
        <w:t>。一方758人がエントリーしている世界最大の前向きTKI中止試験EURO-SKIの24ヶ月TFR</w:t>
      </w:r>
      <w:r w:rsidRPr="0018168D">
        <w:rPr>
          <w:rFonts w:hint="eastAsia"/>
        </w:rPr>
        <w:t>率</w:t>
      </w:r>
      <w:r w:rsidRPr="0018168D">
        <w:t>は50％(95％CI 46-54)と報告されている</w:t>
      </w:r>
      <w:r w:rsidR="002351AD">
        <w:rPr>
          <w:rFonts w:hint="eastAsia"/>
          <w:vertAlign w:val="superscript"/>
        </w:rPr>
        <w:t>5</w:t>
      </w:r>
      <w:r w:rsidRPr="0018168D">
        <w:t>。本邦におけるこれ</w:t>
      </w:r>
      <w:r w:rsidRPr="0018168D">
        <w:lastRenderedPageBreak/>
        <w:t>までの同様の臨床試験</w:t>
      </w:r>
      <w:r w:rsidR="002351AD">
        <w:rPr>
          <w:rFonts w:hint="eastAsia"/>
          <w:vertAlign w:val="superscript"/>
        </w:rPr>
        <w:t>6</w:t>
      </w:r>
      <w:r w:rsidR="002351AD" w:rsidRPr="0018168D">
        <w:rPr>
          <w:vertAlign w:val="superscript"/>
        </w:rPr>
        <w:t>-</w:t>
      </w:r>
      <w:r w:rsidR="002351AD">
        <w:rPr>
          <w:rFonts w:hint="eastAsia"/>
          <w:vertAlign w:val="superscript"/>
        </w:rPr>
        <w:t>9</w:t>
      </w:r>
      <w:r w:rsidRPr="0018168D">
        <w:t>のTFRが海外に比べ良好であることから期待奏効率を55％とする。</w:t>
      </w:r>
      <w:r w:rsidR="004E09BB" w:rsidRPr="0018168D">
        <w:rPr>
          <w:rFonts w:hint="eastAsia"/>
        </w:rPr>
        <w:t>期待奏効率をClopper-Pearsonの95％信頼区間の幅</w:t>
      </w:r>
      <w:r w:rsidR="009B2884" w:rsidRPr="0018168D">
        <w:rPr>
          <w:rFonts w:hint="eastAsia"/>
        </w:rPr>
        <w:t>が</w:t>
      </w:r>
      <w:r w:rsidR="004E09BB" w:rsidRPr="0018168D">
        <w:rPr>
          <w:rFonts w:hint="eastAsia"/>
        </w:rPr>
        <w:t>±3</w:t>
      </w:r>
      <w:r w:rsidR="004E09BB" w:rsidRPr="0018168D">
        <w:t>％</w:t>
      </w:r>
      <w:r w:rsidR="004E09BB" w:rsidRPr="0018168D">
        <w:rPr>
          <w:rFonts w:hint="eastAsia"/>
        </w:rPr>
        <w:t>を達成できる確率を</w:t>
      </w:r>
      <w:r w:rsidRPr="0018168D">
        <w:t>9</w:t>
      </w:r>
      <w:r w:rsidR="004E09BB" w:rsidRPr="0018168D">
        <w:rPr>
          <w:rFonts w:hint="eastAsia"/>
        </w:rPr>
        <w:t>0</w:t>
      </w:r>
      <w:r w:rsidRPr="0018168D">
        <w:t>％と</w:t>
      </w:r>
      <w:r w:rsidR="004E09BB" w:rsidRPr="0018168D">
        <w:rPr>
          <w:rFonts w:hint="eastAsia"/>
        </w:rPr>
        <w:t>して、計算すると</w:t>
      </w:r>
      <w:r w:rsidRPr="0018168D">
        <w:t>必要症例数は10</w:t>
      </w:r>
      <w:r w:rsidR="000E5551" w:rsidRPr="0018168D">
        <w:rPr>
          <w:rFonts w:hint="eastAsia"/>
        </w:rPr>
        <w:t>9</w:t>
      </w:r>
      <w:r w:rsidR="004E09BB" w:rsidRPr="0018168D">
        <w:rPr>
          <w:rFonts w:hint="eastAsia"/>
        </w:rPr>
        <w:t>4</w:t>
      </w:r>
      <w:r w:rsidRPr="0018168D">
        <w:t>例となる。</w:t>
      </w:r>
      <w:r w:rsidR="009B2884" w:rsidRPr="0018168D">
        <w:rPr>
          <w:rFonts w:hint="eastAsia"/>
        </w:rPr>
        <w:t>脱落症例を10％</w:t>
      </w:r>
      <w:r w:rsidR="009B2884">
        <w:rPr>
          <w:rFonts w:hint="eastAsia"/>
        </w:rPr>
        <w:t>程度見込み、目標症例数は1200例とした。</w:t>
      </w:r>
    </w:p>
    <w:p w14:paraId="14F23D63" w14:textId="296F90CC" w:rsidR="002A69E3" w:rsidRPr="004513D0" w:rsidRDefault="00424D15">
      <w:pPr>
        <w:ind w:firstLine="240"/>
      </w:pPr>
      <w:r w:rsidRPr="004513D0">
        <w:t>CMLの年間10万人あたり1-2人の発症率より</w:t>
      </w:r>
      <w:r w:rsidR="002351AD" w:rsidRPr="004513D0">
        <w:rPr>
          <w:vertAlign w:val="superscript"/>
        </w:rPr>
        <w:t>1</w:t>
      </w:r>
      <w:r w:rsidR="002351AD">
        <w:rPr>
          <w:rFonts w:hint="eastAsia"/>
          <w:vertAlign w:val="superscript"/>
        </w:rPr>
        <w:t>0</w:t>
      </w:r>
      <w:r w:rsidRPr="004513D0">
        <w:t>、国内では1年に約1500人以上新規CML症例が発症していると予想される。10年の全生存率はTKI治療によりほぼ年齢を一致させた集団の生存曲線と差はなく現在15000人以上のCML症例がTKI治療を受けていると考えられる。このうち長期TKI療法によりDMRを達成し維持している症例は30</w:t>
      </w:r>
      <w:r w:rsidR="00722038" w:rsidRPr="004513D0">
        <w:t>％</w:t>
      </w:r>
      <w:r w:rsidRPr="004513D0">
        <w:t xml:space="preserve"> 程度と見込まれることから約4500人がTKI中止の候補者となると考えられる。</w:t>
      </w:r>
    </w:p>
    <w:p w14:paraId="2C29BDD5" w14:textId="185E92F0" w:rsidR="002A69E3" w:rsidRPr="004513D0" w:rsidRDefault="00424D15">
      <w:pPr>
        <w:ind w:firstLine="240"/>
      </w:pPr>
      <w:r w:rsidRPr="004513D0">
        <w:t>日本血液学会血液疾患登録による2017年集計ではCMLが計1072人（20歳以上1049例、20歳未満23例）新規に登録されており、これは推定される年間発症の60</w:t>
      </w:r>
      <w:r w:rsidR="00722038" w:rsidRPr="004513D0">
        <w:t>％</w:t>
      </w:r>
      <w:r w:rsidRPr="004513D0">
        <w:t>程度である。本研究は、血液学会登録事業に参加しているアクティブな施設以外での症例登録を含める観察研究であることから新規TKI中止候補者は、約2700人と推定される。そのうちTKI中止の同意を得られる割合を30</w:t>
      </w:r>
      <w:r w:rsidR="00722038" w:rsidRPr="004513D0">
        <w:t>％</w:t>
      </w:r>
      <w:r w:rsidRPr="004513D0">
        <w:t>、および適格除外基準に該当する対象者の存在を考慮すると、本研究に登録できる症例は70</w:t>
      </w:r>
      <w:r w:rsidR="00722038" w:rsidRPr="004513D0">
        <w:t>％</w:t>
      </w:r>
      <w:r w:rsidRPr="004513D0">
        <w:t>程度と推測されることから、本研究における新規のTKI中止症例は600人と計算された。</w:t>
      </w:r>
    </w:p>
    <w:p w14:paraId="58645710" w14:textId="66133716" w:rsidR="002A69E3" w:rsidRPr="004513D0" w:rsidRDefault="00424D15">
      <w:pPr>
        <w:ind w:firstLine="240"/>
      </w:pPr>
      <w:r w:rsidRPr="004513D0">
        <w:t>一方、過去に本邦で行われた、あるいは現在行われているTKI中止試験の報告は複数あり、UMINで検索し得る代表的な多施設共同研究としてJALSG D-STOP216試験（50人）、JALSG N-STOP216試験（50人）、STKI-14（25人）、JALSG STIM213 （62人）</w:t>
      </w:r>
      <w:r w:rsidR="002351AD">
        <w:rPr>
          <w:rFonts w:hint="eastAsia"/>
          <w:vertAlign w:val="superscript"/>
        </w:rPr>
        <w:t>8</w:t>
      </w:r>
      <w:r w:rsidRPr="004513D0">
        <w:t>、STDAST（60人）、NILSt（87人）</w:t>
      </w:r>
      <w:r w:rsidR="002351AD" w:rsidRPr="004513D0">
        <w:rPr>
          <w:vertAlign w:val="superscript"/>
        </w:rPr>
        <w:t>1</w:t>
      </w:r>
      <w:r w:rsidR="002351AD">
        <w:rPr>
          <w:rFonts w:hint="eastAsia"/>
          <w:vertAlign w:val="superscript"/>
        </w:rPr>
        <w:t>1</w:t>
      </w:r>
      <w:r w:rsidRPr="004513D0">
        <w:t>、STAT2（78人）、DADI（63人）</w:t>
      </w:r>
      <w:r w:rsidR="002351AD" w:rsidRPr="004513D0">
        <w:rPr>
          <w:vertAlign w:val="superscript"/>
        </w:rPr>
        <w:t>1</w:t>
      </w:r>
      <w:r w:rsidR="002351AD">
        <w:rPr>
          <w:rFonts w:hint="eastAsia"/>
          <w:vertAlign w:val="superscript"/>
        </w:rPr>
        <w:t>2</w:t>
      </w:r>
      <w:r w:rsidRPr="004513D0">
        <w:t>、KEIO-STIM（41人）</w:t>
      </w:r>
      <w:r w:rsidR="002351AD">
        <w:rPr>
          <w:rFonts w:hint="eastAsia"/>
          <w:vertAlign w:val="superscript"/>
        </w:rPr>
        <w:t>6</w:t>
      </w:r>
      <w:r w:rsidR="002351AD" w:rsidRPr="004513D0">
        <w:rPr>
          <w:vertAlign w:val="superscript"/>
        </w:rPr>
        <w:t>,1</w:t>
      </w:r>
      <w:r w:rsidR="002351AD">
        <w:rPr>
          <w:rFonts w:hint="eastAsia"/>
          <w:vertAlign w:val="superscript"/>
        </w:rPr>
        <w:t>3</w:t>
      </w:r>
      <w:r w:rsidRPr="004513D0">
        <w:t>（以上</w:t>
      </w:r>
      <w:r w:rsidR="00F60D64" w:rsidRPr="004513D0">
        <w:t>計</w:t>
      </w:r>
      <w:r w:rsidR="00F60D64">
        <w:t>516</w:t>
      </w:r>
      <w:r w:rsidR="00F60D64" w:rsidRPr="004513D0">
        <w:t>人</w:t>
      </w:r>
      <w:r w:rsidRPr="004513D0">
        <w:t>）のほか単施設で行われ未発表の試験（東京女子医大、順天堂大学、岩手医大など）も多数あり、これらの中止試験による中止症例に日常診療での過去のTKI中止症例を追加すると、過去のTKI中止症例は、約1200例となると推測される。このうち半数から同意が得られるとすると過去のTKI中止症例で長期前向き観察が可能な症例数は600人と推測された。したがって、解析に必要と推定された目標症例数1200例（新規TKI中止600例＋過去の中止例600例）のリクルートは可能であると判断した。</w:t>
      </w:r>
    </w:p>
    <w:p w14:paraId="1C6CF3FB" w14:textId="77777777" w:rsidR="002A69E3" w:rsidRPr="004513D0" w:rsidRDefault="002A69E3">
      <w:pPr>
        <w:ind w:firstLine="480"/>
      </w:pPr>
    </w:p>
    <w:p w14:paraId="1AD89EA1" w14:textId="77777777" w:rsidR="002A69E3" w:rsidRPr="004513D0" w:rsidRDefault="00424D15">
      <w:pPr>
        <w:pStyle w:val="1"/>
      </w:pPr>
      <w:bookmarkStart w:id="52" w:name="_Toc12865339"/>
      <w:r w:rsidRPr="004513D0">
        <w:t>10． 対象者の登録</w:t>
      </w:r>
      <w:bookmarkEnd w:id="52"/>
    </w:p>
    <w:p w14:paraId="034A540B" w14:textId="7F37BA34" w:rsidR="002A69E3" w:rsidRPr="004513D0" w:rsidRDefault="00424D15">
      <w:pPr>
        <w:pStyle w:val="2"/>
      </w:pPr>
      <w:bookmarkStart w:id="53" w:name="_Toc12865340"/>
      <w:r w:rsidRPr="004513D0">
        <w:t>10.1．</w:t>
      </w:r>
      <w:r w:rsidR="00722038" w:rsidRPr="004513D0">
        <w:rPr>
          <w:rFonts w:hint="eastAsia"/>
        </w:rPr>
        <w:t>症例</w:t>
      </w:r>
      <w:r w:rsidRPr="004513D0">
        <w:t>登録</w:t>
      </w:r>
      <w:bookmarkEnd w:id="53"/>
    </w:p>
    <w:p w14:paraId="5586DD65" w14:textId="77777777" w:rsidR="002A69E3" w:rsidRPr="004513D0" w:rsidRDefault="00424D15">
      <w:pPr>
        <w:ind w:firstLine="240"/>
      </w:pPr>
      <w:r w:rsidRPr="004513D0">
        <w:t>本研究ではEDCを使用する。研究責任者または研究責任者に指名された者は厳重に管理された個別の電子署名(IDとパスワード)を用いてEDCにログインし、収集された症例情報を速やかにEDCに入力し、データセンターに送信する。送信された電子データが症例報告書とみなされる。研究責任者または研究責任者</w:t>
      </w:r>
      <w:r w:rsidRPr="004513D0">
        <w:lastRenderedPageBreak/>
        <w:t>に指名された者が、入力・訂正の全てを実施し、必要に応じてEDC内で問合せを行い、また担当データマネージャ等が作成した問合せに対応する。研究責任者は全てのデータ入力が正確であることを確認する。</w:t>
      </w:r>
    </w:p>
    <w:p w14:paraId="3A3B72FE" w14:textId="77777777" w:rsidR="002A69E3" w:rsidRPr="004513D0" w:rsidRDefault="002A69E3">
      <w:bookmarkStart w:id="54" w:name="_3ygebqi" w:colFirst="0" w:colLast="0"/>
      <w:bookmarkEnd w:id="54"/>
    </w:p>
    <w:p w14:paraId="15B73F0F" w14:textId="77777777" w:rsidR="002A69E3" w:rsidRPr="004513D0" w:rsidRDefault="00424D15">
      <w:pPr>
        <w:pStyle w:val="1"/>
      </w:pPr>
      <w:bookmarkStart w:id="55" w:name="_Toc12865341"/>
      <w:r w:rsidRPr="004513D0">
        <w:t>11．研究の中止基準</w:t>
      </w:r>
      <w:bookmarkEnd w:id="55"/>
    </w:p>
    <w:p w14:paraId="31FAF28C" w14:textId="77777777" w:rsidR="002A69E3" w:rsidRPr="004513D0" w:rsidRDefault="00424D15">
      <w:pPr>
        <w:pStyle w:val="2"/>
      </w:pPr>
      <w:bookmarkStart w:id="56" w:name="_Toc12865342"/>
      <w:r w:rsidRPr="004513D0">
        <w:t>11.1．患者ごとの研究の中止基準</w:t>
      </w:r>
      <w:bookmarkEnd w:id="56"/>
    </w:p>
    <w:p w14:paraId="0337C55F" w14:textId="77777777" w:rsidR="002A69E3" w:rsidRPr="004513D0" w:rsidRDefault="00424D15">
      <w:pPr>
        <w:ind w:firstLine="240"/>
      </w:pPr>
      <w:r w:rsidRPr="004513D0">
        <w:t>以下のような場合には研究を中止する。研究を中止した場合は、その理由を明らかにして、症例報告書に記入する。</w:t>
      </w:r>
    </w:p>
    <w:p w14:paraId="0D9B7F31" w14:textId="77777777" w:rsidR="002A69E3" w:rsidRPr="004513D0" w:rsidRDefault="00424D15">
      <w:pPr>
        <w:ind w:left="220"/>
      </w:pPr>
      <w:r w:rsidRPr="004513D0">
        <w:t>１）本人及び代諾者より同意の撤回があった場合</w:t>
      </w:r>
    </w:p>
    <w:p w14:paraId="216B3EB1" w14:textId="1DC23C00" w:rsidR="002A69E3" w:rsidRPr="004513D0" w:rsidRDefault="00424D15">
      <w:pPr>
        <w:ind w:left="220"/>
      </w:pPr>
      <w:r w:rsidRPr="004513D0">
        <w:t>２）追跡不能となった場合</w:t>
      </w:r>
    </w:p>
    <w:p w14:paraId="3F849701" w14:textId="54F6482F" w:rsidR="00722038" w:rsidRPr="004513D0" w:rsidRDefault="00722038" w:rsidP="00722038">
      <w:pPr>
        <w:ind w:left="220"/>
      </w:pPr>
      <w:r w:rsidRPr="004513D0">
        <w:t>３）死亡した場合</w:t>
      </w:r>
    </w:p>
    <w:p w14:paraId="2A50C626" w14:textId="77777777" w:rsidR="002A69E3" w:rsidRPr="004513D0" w:rsidRDefault="002A69E3"/>
    <w:p w14:paraId="77CE5BF8" w14:textId="77777777" w:rsidR="002A69E3" w:rsidRPr="004513D0" w:rsidRDefault="00424D15">
      <w:pPr>
        <w:pStyle w:val="2"/>
      </w:pPr>
      <w:bookmarkStart w:id="57" w:name="_Toc12865343"/>
      <w:r w:rsidRPr="004513D0">
        <w:t>11.2．研究全体の中止基準</w:t>
      </w:r>
      <w:bookmarkEnd w:id="57"/>
    </w:p>
    <w:p w14:paraId="42AB33D4" w14:textId="0A35269B" w:rsidR="002A69E3" w:rsidRPr="004513D0" w:rsidRDefault="00424D15">
      <w:pPr>
        <w:ind w:firstLine="240"/>
      </w:pPr>
      <w:r w:rsidRPr="004513D0">
        <w:t>CML TFR研究実行委員会は、中間</w:t>
      </w:r>
      <w:r w:rsidR="003C44BB">
        <w:rPr>
          <w:rFonts w:hint="eastAsia"/>
        </w:rPr>
        <w:t>報告</w:t>
      </w:r>
      <w:r w:rsidRPr="004513D0">
        <w:t>等に基づき研究の継続の妥当性を検討する。継続が適切でないと判断した場合には、同委員会は研究代表者に研究の中止あるいは中断を勧告する。研究代表者が勧告に従い研究の中止を決定した場合には、可及的速やかに中止とその理由、研究中の対象患者に対する対応方法を担当医師に伝達する。担当医師は経緯を審査委員会（臨床研究審査委員会、倫理審査委員会など）に報告し、研究代表者と審査委員会の指示に従い、研究中の患者に対して適切な対応をとる。</w:t>
      </w:r>
    </w:p>
    <w:p w14:paraId="3CF013DF" w14:textId="77777777" w:rsidR="002A69E3" w:rsidRPr="004513D0" w:rsidRDefault="002A69E3"/>
    <w:p w14:paraId="61373344" w14:textId="77777777" w:rsidR="002A69E3" w:rsidRPr="004513D0" w:rsidRDefault="00424D15">
      <w:pPr>
        <w:pStyle w:val="1"/>
        <w:jc w:val="left"/>
      </w:pPr>
      <w:bookmarkStart w:id="58" w:name="_Toc12865344"/>
      <w:r w:rsidRPr="004513D0">
        <w:t>12．研究の費用負担</w:t>
      </w:r>
      <w:bookmarkEnd w:id="58"/>
      <w:r w:rsidRPr="004513D0">
        <w:t xml:space="preserve"> </w:t>
      </w:r>
    </w:p>
    <w:p w14:paraId="1DB6AF11" w14:textId="77777777" w:rsidR="002A69E3" w:rsidRPr="004513D0" w:rsidRDefault="00424D15">
      <w:pPr>
        <w:pStyle w:val="2"/>
        <w:jc w:val="left"/>
      </w:pPr>
      <w:bookmarkStart w:id="59" w:name="_Toc12865345"/>
      <w:r w:rsidRPr="004513D0">
        <w:t>12.1．資金源及び財政上の関係</w:t>
      </w:r>
      <w:bookmarkEnd w:id="59"/>
      <w:r w:rsidRPr="004513D0">
        <w:t xml:space="preserve"> </w:t>
      </w:r>
    </w:p>
    <w:p w14:paraId="0466E038" w14:textId="77777777" w:rsidR="002A69E3" w:rsidRPr="004513D0" w:rsidRDefault="00424D15">
      <w:pPr>
        <w:ind w:firstLine="240"/>
      </w:pPr>
      <w:r w:rsidRPr="004513D0">
        <w:t>本研究は、厚生労働科学研究における利益相反（conflict of interest: COI）の管理に関する指針（平成20年3月31日科発第0331001号厚生科学課長決定、平成30年6月26日 一部改正）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w:t>
      </w:r>
    </w:p>
    <w:p w14:paraId="79B46AEE" w14:textId="14A9F58B" w:rsidR="002A69E3" w:rsidRPr="004513D0" w:rsidRDefault="00424D15">
      <w:pPr>
        <w:ind w:firstLine="240"/>
      </w:pPr>
      <w:r w:rsidRPr="004513D0">
        <w:t>本研究の実施にあたり研究費を購うため、一般社団法人日本血液学会は製薬企業4社（ノバルティスファーマ株式会社、ブリストル・マイヤーズ スクイブ株式会社、ファイザー株式会社、大塚製薬株式会社）と</w:t>
      </w:r>
      <w:r w:rsidR="00E8786F" w:rsidRPr="004513D0">
        <w:rPr>
          <w:rFonts w:hint="eastAsia"/>
        </w:rPr>
        <w:t>それぞれ各社のTKI別の研究結果を個人が特定できないように集計した形で報告する</w:t>
      </w:r>
      <w:r w:rsidRPr="004513D0">
        <w:t>委受託契約を締結</w:t>
      </w:r>
      <w:r w:rsidR="00C36109">
        <w:rPr>
          <w:rFonts w:hint="eastAsia"/>
        </w:rPr>
        <w:t>し、資金提供を受け</w:t>
      </w:r>
      <w:r w:rsidRPr="004513D0">
        <w:t>る。本研究は治療介入を行わない観察研究であり、特定の製薬企業の特定のTKIを対象としたものではない。また、分子遺伝学的再発時におけるTKIの選択についても特定の薬に誘導することはなく、患者さんに</w:t>
      </w:r>
      <w:r w:rsidRPr="004513D0">
        <w:lastRenderedPageBreak/>
        <w:t>不利益をもたらすものではない。研究者の個人的な利益相反の管理については、一般社団法人日本血液学会のCOI管理委員会で審査・管理するとともに、各施設の規定に従う。</w:t>
      </w:r>
    </w:p>
    <w:p w14:paraId="19771B35" w14:textId="77777777" w:rsidR="002A69E3" w:rsidRPr="004513D0" w:rsidRDefault="002A69E3">
      <w:pPr>
        <w:ind w:firstLine="240"/>
      </w:pPr>
    </w:p>
    <w:p w14:paraId="095B85B7" w14:textId="77777777" w:rsidR="002A69E3" w:rsidRPr="004513D0" w:rsidRDefault="00424D15">
      <w:pPr>
        <w:pStyle w:val="2"/>
        <w:jc w:val="left"/>
      </w:pPr>
      <w:bookmarkStart w:id="60" w:name="_Toc12865346"/>
      <w:r w:rsidRPr="004513D0">
        <w:t>12.2．治療に関する費用</w:t>
      </w:r>
      <w:bookmarkEnd w:id="60"/>
      <w:r w:rsidRPr="004513D0">
        <w:t xml:space="preserve"> </w:t>
      </w:r>
    </w:p>
    <w:p w14:paraId="17257F92" w14:textId="77777777" w:rsidR="002A69E3" w:rsidRPr="004513D0" w:rsidRDefault="00424D15">
      <w:pPr>
        <w:ind w:firstLine="240"/>
      </w:pPr>
      <w:r w:rsidRPr="004513D0">
        <w:t>本研究は観察研究であり、治療や検査に要する費用（検査、投薬、処置、入院、診療、通院など）に対する補助は行われない。</w:t>
      </w:r>
    </w:p>
    <w:p w14:paraId="149BBF76" w14:textId="77777777" w:rsidR="002A69E3" w:rsidRPr="004513D0" w:rsidRDefault="002A69E3"/>
    <w:p w14:paraId="360CC6EB" w14:textId="77777777" w:rsidR="002A69E3" w:rsidRPr="004513D0" w:rsidRDefault="00424D15">
      <w:pPr>
        <w:pStyle w:val="2"/>
        <w:jc w:val="left"/>
      </w:pPr>
      <w:bookmarkStart w:id="61" w:name="_Toc12865347"/>
      <w:r w:rsidRPr="004513D0">
        <w:t>12.3．健康被害に対する補償</w:t>
      </w:r>
      <w:bookmarkEnd w:id="61"/>
      <w:r w:rsidRPr="004513D0">
        <w:t xml:space="preserve"> </w:t>
      </w:r>
    </w:p>
    <w:p w14:paraId="2337EFED" w14:textId="77777777" w:rsidR="002A69E3" w:rsidRPr="004513D0" w:rsidRDefault="00424D15">
      <w:pPr>
        <w:ind w:firstLine="238"/>
      </w:pPr>
      <w:r w:rsidRPr="004513D0">
        <w:t>本研究は観察研究であり、本臨床研究に参加することで生じた被害については研究参加施設が通常の診療で病状に応じた適切な治療を保険診療として提供すること。医療費の自己負担分については患者の負担とする。</w:t>
      </w:r>
    </w:p>
    <w:p w14:paraId="33FC26AC" w14:textId="77777777" w:rsidR="002A69E3" w:rsidRPr="004513D0" w:rsidRDefault="002A69E3"/>
    <w:p w14:paraId="6B646A93" w14:textId="77777777" w:rsidR="002A69E3" w:rsidRPr="004513D0" w:rsidRDefault="00424D15">
      <w:pPr>
        <w:pStyle w:val="1"/>
      </w:pPr>
      <w:bookmarkStart w:id="62" w:name="_Toc12865348"/>
      <w:r w:rsidRPr="004513D0">
        <w:t>13. 研究等における医学倫理的配慮について</w:t>
      </w:r>
      <w:bookmarkEnd w:id="62"/>
    </w:p>
    <w:p w14:paraId="06597E4B" w14:textId="77777777" w:rsidR="002A69E3" w:rsidRPr="004513D0" w:rsidRDefault="00424D15">
      <w:pPr>
        <w:pStyle w:val="2"/>
      </w:pPr>
      <w:bookmarkStart w:id="63" w:name="_Toc12865349"/>
      <w:r w:rsidRPr="004513D0">
        <w:t>13.1．研究等の対象となる個人の人権の擁護</w:t>
      </w:r>
      <w:bookmarkEnd w:id="63"/>
    </w:p>
    <w:p w14:paraId="3428AD14" w14:textId="614802AB" w:rsidR="00722038" w:rsidRPr="004513D0" w:rsidRDefault="00722038" w:rsidP="00722038">
      <w:r w:rsidRPr="004513D0">
        <w:t>本試験</w:t>
      </w:r>
      <w:r w:rsidRPr="004513D0">
        <w:rPr>
          <w:rFonts w:hint="eastAsia"/>
        </w:rPr>
        <w:t>に関係する全ての研究者は</w:t>
      </w:r>
      <w:r w:rsidRPr="004513D0">
        <w:t>研究計画書および以下のものに従って実施する：</w:t>
      </w:r>
    </w:p>
    <w:p w14:paraId="178498C8" w14:textId="229B33E3" w:rsidR="00722038" w:rsidRPr="004513D0" w:rsidRDefault="00722038" w:rsidP="00D73386">
      <w:pPr>
        <w:widowControl/>
        <w:spacing w:line="335" w:lineRule="auto"/>
        <w:jc w:val="left"/>
      </w:pPr>
      <w:r w:rsidRPr="004513D0">
        <w:t>・世界医師会</w:t>
      </w:r>
      <w:r w:rsidRPr="004513D0">
        <w:rPr>
          <w:rFonts w:hint="eastAsia"/>
        </w:rPr>
        <w:t>ヘルシンキ宣言</w:t>
      </w:r>
    </w:p>
    <w:p w14:paraId="54E5F331" w14:textId="19B3A697" w:rsidR="00722038" w:rsidRPr="004513D0" w:rsidRDefault="00722038" w:rsidP="00722038">
      <w:pPr>
        <w:widowControl/>
        <w:spacing w:line="335" w:lineRule="auto"/>
        <w:jc w:val="left"/>
      </w:pPr>
      <w:r w:rsidRPr="004513D0">
        <w:t>・</w:t>
      </w:r>
      <w:r w:rsidRPr="004513D0">
        <w:rPr>
          <w:rFonts w:hint="eastAsia"/>
        </w:rPr>
        <w:t>人を対象とする医学系研究に関する倫理指針</w:t>
      </w:r>
    </w:p>
    <w:p w14:paraId="14AF8408" w14:textId="77777777" w:rsidR="00722038" w:rsidRPr="004513D0" w:rsidRDefault="00722038" w:rsidP="00722038">
      <w:r w:rsidRPr="004513D0">
        <w:t>・個人情報の保護に関する法律</w:t>
      </w:r>
    </w:p>
    <w:p w14:paraId="262BB503" w14:textId="77777777" w:rsidR="002A69E3" w:rsidRPr="004513D0" w:rsidRDefault="002A69E3">
      <w:pPr>
        <w:ind w:left="323"/>
      </w:pPr>
    </w:p>
    <w:p w14:paraId="75CBFA85" w14:textId="77777777" w:rsidR="002A69E3" w:rsidRPr="004513D0" w:rsidRDefault="00424D15">
      <w:pPr>
        <w:rPr>
          <w:rFonts w:ascii="ＭＳ Ｐゴシック" w:eastAsia="ＭＳ Ｐゴシック" w:hAnsi="ＭＳ Ｐゴシック" w:cs="ＭＳ Ｐゴシック"/>
          <w:b/>
        </w:rPr>
      </w:pPr>
      <w:r w:rsidRPr="004513D0">
        <w:rPr>
          <w:rFonts w:ascii="ＭＳ Ｐゴシック" w:eastAsia="ＭＳ Ｐゴシック" w:hAnsi="ＭＳ Ｐゴシック" w:cs="ＭＳ Ｐゴシック"/>
          <w:b/>
        </w:rPr>
        <w:t>13.2．研究等によって生ずる個人への利益、不利益並びに危険性</w:t>
      </w:r>
    </w:p>
    <w:p w14:paraId="2D56B6A1" w14:textId="77777777" w:rsidR="002A69E3" w:rsidRPr="004513D0" w:rsidRDefault="00424D15">
      <w:r w:rsidRPr="004513D0">
        <w:t>本研究に参加することによる研究対象者個人への直接的な利益は生じない。研究の成果は、将来の慢性骨髄性白血病の治療法の進歩に有益となる可能性がある。本研究に参加することによる研究対象者に生じる肉体的負担並びにリスクはない。情報漏えいによるプライバシーの侵害のリスクを最小化すべく、情報セキュリティマネジメントシステムに関する国際規格であるISO27001を取得しているデータセンターにてバリデーションされているEDCを用いてデータマネジメントを行う。</w:t>
      </w:r>
    </w:p>
    <w:p w14:paraId="72A91122" w14:textId="77777777" w:rsidR="00D820FD" w:rsidRPr="004513D0" w:rsidRDefault="00D820FD" w:rsidP="00F15087"/>
    <w:p w14:paraId="5B032C9A" w14:textId="77777777" w:rsidR="002A69E3" w:rsidRPr="004513D0" w:rsidRDefault="00424D15">
      <w:pPr>
        <w:pStyle w:val="2"/>
      </w:pPr>
      <w:bookmarkStart w:id="64" w:name="_Toc12865350"/>
      <w:r w:rsidRPr="004513D0">
        <w:t>13.3．医学上の貢献の予測</w:t>
      </w:r>
      <w:bookmarkEnd w:id="64"/>
    </w:p>
    <w:p w14:paraId="23D2F57A" w14:textId="77777777" w:rsidR="002A69E3" w:rsidRPr="004513D0" w:rsidRDefault="00424D15">
      <w:pPr>
        <w:ind w:firstLine="240"/>
      </w:pPr>
      <w:r w:rsidRPr="004513D0">
        <w:t>TFR成功により、以後の保険診療によるTKI治療が長期的に不要となる可能性がある。そのため患者個人のみならず社会的な医療費の軽減に寄与する可能性がある。TKI治療は各薬剤で長期治療における副作用が問題となっており、TFR成功により生命予後や生活の質を改善できる可能性がある。この観察研究の成果により、診療ガイドラインを改定し、すべてのCML患者に対して理由を問わ</w:t>
      </w:r>
      <w:r w:rsidRPr="004513D0">
        <w:lastRenderedPageBreak/>
        <w:t>ずTFRを日常診療で行うことができる。</w:t>
      </w:r>
    </w:p>
    <w:p w14:paraId="6F200184" w14:textId="77777777" w:rsidR="002A69E3" w:rsidRPr="004513D0" w:rsidRDefault="002A69E3">
      <w:pPr>
        <w:ind w:left="323"/>
      </w:pPr>
    </w:p>
    <w:p w14:paraId="39E707A2" w14:textId="77777777" w:rsidR="002A69E3" w:rsidRPr="004513D0" w:rsidRDefault="00424D15">
      <w:pPr>
        <w:pStyle w:val="2"/>
      </w:pPr>
      <w:bookmarkStart w:id="65" w:name="_Toc12865351"/>
      <w:r w:rsidRPr="004513D0">
        <w:t>13.4．研究等の対象となる個人及び代諾者に同意を得る方法</w:t>
      </w:r>
      <w:bookmarkEnd w:id="65"/>
    </w:p>
    <w:p w14:paraId="6F1CB43B" w14:textId="77777777" w:rsidR="002A69E3" w:rsidRPr="004513D0" w:rsidRDefault="00424D15">
      <w:pPr>
        <w:ind w:firstLine="240"/>
      </w:pPr>
      <w:r w:rsidRPr="004513D0">
        <w:t>研究についての説明を所定の説明文書を用いて行い、患者が研究の内容を十分に理解したことを確認の上で、研究への参加について文書による同意を得る。患者が未成年者（満20歳に達しない者）の場合、患者および代諾者（親権者、配偶者、後見人、その他これらに準じる者で患者の最善の利益を図りうる者）に対して説明文書を用いて説明し、患者および代諾者から研究の参加について文書による同意を得る。なお、未成年の患者本人に対しても理解力に応じて説明を行い、患者からも文書による同意を得る。同意文書は2部コピーし、1部は患者本人もしくは代諾者に手渡し、1部は各施設において研究責任者が保管する。原本はカルテに保管する。</w:t>
      </w:r>
    </w:p>
    <w:p w14:paraId="3B3B283B" w14:textId="77777777" w:rsidR="002A69E3" w:rsidRPr="004513D0" w:rsidRDefault="002A69E3">
      <w:bookmarkStart w:id="66" w:name="_xvir7l" w:colFirst="0" w:colLast="0"/>
      <w:bookmarkEnd w:id="66"/>
    </w:p>
    <w:p w14:paraId="67832F61" w14:textId="77777777" w:rsidR="002A69E3" w:rsidRPr="004513D0" w:rsidRDefault="00424D15">
      <w:pPr>
        <w:pStyle w:val="2"/>
      </w:pPr>
      <w:bookmarkStart w:id="67" w:name="_Toc12865352"/>
      <w:r w:rsidRPr="004513D0">
        <w:t>13.5．同意説明文書の内容</w:t>
      </w:r>
      <w:bookmarkEnd w:id="67"/>
    </w:p>
    <w:p w14:paraId="2EBD952D"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研究の名称及び当該研究の実施について研究機関の長の許可を受けている旨</w:t>
      </w:r>
    </w:p>
    <w:p w14:paraId="3A109945"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研究機関の名称及び研究責任者の氏名（他の研究機関と共同して研究を実施する場合には、共同研究機関の名称及び共同研究機関の研究責任者の氏名を含む。）</w:t>
      </w:r>
    </w:p>
    <w:p w14:paraId="29D4AF34"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研究の目的と意義</w:t>
      </w:r>
      <w:r w:rsidRPr="004513D0">
        <w:tab/>
      </w:r>
    </w:p>
    <w:p w14:paraId="5F522E23"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対象者として選ばれた理由</w:t>
      </w:r>
      <w:r w:rsidRPr="004513D0">
        <w:tab/>
      </w:r>
    </w:p>
    <w:p w14:paraId="6EC0E328"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研究の方法</w:t>
      </w:r>
      <w:r w:rsidRPr="004513D0">
        <w:tab/>
      </w:r>
    </w:p>
    <w:p w14:paraId="78D76BB1"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研究の実施期間</w:t>
      </w:r>
      <w:r w:rsidRPr="004513D0">
        <w:tab/>
      </w:r>
    </w:p>
    <w:p w14:paraId="7B4B505F"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参加することで期待される利益</w:t>
      </w:r>
      <w:r w:rsidRPr="004513D0">
        <w:tab/>
      </w:r>
    </w:p>
    <w:p w14:paraId="13573C15"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参加することで生じる負担および予想されるリスク</w:t>
      </w:r>
      <w:r w:rsidRPr="004513D0">
        <w:tab/>
      </w:r>
    </w:p>
    <w:p w14:paraId="14A8B6F1" w14:textId="77777777" w:rsidR="002A69E3" w:rsidRPr="004513D0" w:rsidRDefault="00424D15" w:rsidP="008C396D">
      <w:pPr>
        <w:numPr>
          <w:ilvl w:val="0"/>
          <w:numId w:val="3"/>
        </w:numPr>
        <w:pBdr>
          <w:top w:val="nil"/>
          <w:left w:val="nil"/>
          <w:bottom w:val="nil"/>
          <w:right w:val="nil"/>
          <w:between w:val="nil"/>
        </w:pBdr>
        <w:spacing w:line="240" w:lineRule="auto"/>
        <w:ind w:left="860"/>
        <w:jc w:val="left"/>
      </w:pPr>
      <w:r w:rsidRPr="004513D0">
        <w:t>参加することで生じる経済的負担</w:t>
      </w:r>
      <w:r w:rsidRPr="004513D0">
        <w:tab/>
      </w:r>
      <w:r w:rsidRPr="004513D0">
        <w:tab/>
      </w:r>
    </w:p>
    <w:p w14:paraId="277EEFB4"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同意しないこと、同意を撤回することの自由</w:t>
      </w:r>
      <w:r w:rsidRPr="004513D0">
        <w:tab/>
      </w:r>
    </w:p>
    <w:p w14:paraId="4BBE900D"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研究に関する情報公開</w:t>
      </w:r>
      <w:r w:rsidRPr="004513D0">
        <w:tab/>
      </w:r>
    </w:p>
    <w:p w14:paraId="68A91D62"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質問の自由と研究に関する資料の公開</w:t>
      </w:r>
      <w:r w:rsidRPr="004513D0">
        <w:tab/>
      </w:r>
    </w:p>
    <w:p w14:paraId="3AD93090"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個人情報の取り扱い</w:t>
      </w:r>
      <w:r w:rsidRPr="004513D0">
        <w:tab/>
      </w:r>
    </w:p>
    <w:p w14:paraId="3928D6BC" w14:textId="7CA15415"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情報の保管および廃棄の方法</w:t>
      </w:r>
      <w:r w:rsidRPr="004513D0">
        <w:tab/>
      </w:r>
    </w:p>
    <w:p w14:paraId="6EC2BCA4" w14:textId="77777777" w:rsidR="002A69E3"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健康被害に対する補償</w:t>
      </w:r>
      <w:r w:rsidR="00424D15" w:rsidRPr="004513D0">
        <w:tab/>
      </w:r>
    </w:p>
    <w:p w14:paraId="3FCBD152" w14:textId="5423A389" w:rsidR="008C396D"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情報の二次利用</w:t>
      </w:r>
    </w:p>
    <w:p w14:paraId="092A0671"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研究の資金源および利益相反</w:t>
      </w:r>
    </w:p>
    <w:p w14:paraId="2C45D3C0"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研究実施機関および研究責任者</w:t>
      </w:r>
      <w:r w:rsidRPr="004513D0">
        <w:tab/>
      </w:r>
    </w:p>
    <w:p w14:paraId="0DD93728" w14:textId="77777777" w:rsidR="008C396D"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研究組織</w:t>
      </w:r>
    </w:p>
    <w:p w14:paraId="6125BB2B"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お問い合わせ先</w:t>
      </w:r>
      <w:r w:rsidRPr="004513D0">
        <w:tab/>
      </w:r>
    </w:p>
    <w:p w14:paraId="7F8A3EF4" w14:textId="77777777" w:rsidR="002A69E3" w:rsidRPr="004513D0" w:rsidRDefault="002A69E3"/>
    <w:p w14:paraId="759E0AC7" w14:textId="77777777" w:rsidR="002A69E3" w:rsidRPr="004513D0" w:rsidRDefault="00424D15">
      <w:pPr>
        <w:pStyle w:val="2"/>
      </w:pPr>
      <w:bookmarkStart w:id="68" w:name="_Toc12865353"/>
      <w:r w:rsidRPr="004513D0">
        <w:lastRenderedPageBreak/>
        <w:t>13.6．同意取得時期</w:t>
      </w:r>
      <w:bookmarkEnd w:id="68"/>
    </w:p>
    <w:p w14:paraId="4B10631D" w14:textId="4657B70C" w:rsidR="002A69E3" w:rsidRPr="004513D0" w:rsidRDefault="00424D15">
      <w:r w:rsidRPr="004513D0">
        <w:t>同意の取得は</w:t>
      </w:r>
      <w:r w:rsidR="00B26CBC" w:rsidRPr="004513D0">
        <w:rPr>
          <w:rFonts w:hint="eastAsia"/>
        </w:rPr>
        <w:t>症例</w:t>
      </w:r>
      <w:r w:rsidRPr="004513D0">
        <w:t>登録の前とする。</w:t>
      </w:r>
    </w:p>
    <w:p w14:paraId="4EB71BE3" w14:textId="77777777" w:rsidR="002A69E3" w:rsidRPr="004513D0" w:rsidRDefault="002A69E3"/>
    <w:p w14:paraId="61B5B0D3" w14:textId="77777777" w:rsidR="002A69E3" w:rsidRPr="004513D0" w:rsidRDefault="00424D15">
      <w:pPr>
        <w:pStyle w:val="2"/>
      </w:pPr>
      <w:bookmarkStart w:id="69" w:name="_Toc12865354"/>
      <w:r w:rsidRPr="004513D0">
        <w:t>13.7．患者の秘密保護</w:t>
      </w:r>
      <w:bookmarkEnd w:id="69"/>
    </w:p>
    <w:p w14:paraId="124D74EF" w14:textId="77777777" w:rsidR="002A69E3" w:rsidRPr="004513D0" w:rsidRDefault="00424D15">
      <w:pPr>
        <w:ind w:firstLine="240"/>
      </w:pPr>
      <w:r w:rsidRPr="004513D0">
        <w:t>本研究実施に関わる者は、患者のプライバシーおよび個人情報の保護に十分配慮する。本研究で得られた患者のデータは本研究の目的以外には使用しない。本研究で得られた患者のデータを本研究の目的以外で使用する場合は、必要に応じ別途対象者から同意を取得する。なお、研究の結果を公表する際も患者を特定できる情報は使用しない。</w:t>
      </w:r>
    </w:p>
    <w:p w14:paraId="408BA5FA" w14:textId="77777777" w:rsidR="002A69E3" w:rsidRPr="004513D0" w:rsidRDefault="002A69E3"/>
    <w:p w14:paraId="486B47A7" w14:textId="77777777" w:rsidR="002A69E3" w:rsidRPr="004513D0" w:rsidRDefault="00424D15">
      <w:pPr>
        <w:pStyle w:val="1"/>
      </w:pPr>
      <w:bookmarkStart w:id="70" w:name="_Toc12865355"/>
      <w:r w:rsidRPr="004513D0">
        <w:t>14．プロトコールの遵守</w:t>
      </w:r>
      <w:bookmarkEnd w:id="70"/>
    </w:p>
    <w:p w14:paraId="56A8B7B8" w14:textId="77777777" w:rsidR="002A69E3" w:rsidRPr="004513D0" w:rsidRDefault="00424D15">
      <w:pPr>
        <w:ind w:firstLine="240"/>
      </w:pPr>
      <w:r w:rsidRPr="004513D0">
        <w:t>本研究に参加する研究者は、患者の安全と人権を損なわない限りにおいて本研究実施計画書を遵守する。</w:t>
      </w:r>
    </w:p>
    <w:p w14:paraId="219CF6D2" w14:textId="77777777" w:rsidR="002A69E3" w:rsidRPr="004513D0" w:rsidRDefault="002A69E3">
      <w:bookmarkStart w:id="71" w:name="_1baon6m" w:colFirst="0" w:colLast="0"/>
      <w:bookmarkEnd w:id="71"/>
    </w:p>
    <w:p w14:paraId="1DB59C20" w14:textId="77777777" w:rsidR="002A69E3" w:rsidRPr="004513D0" w:rsidRDefault="00424D15">
      <w:pPr>
        <w:pStyle w:val="1"/>
      </w:pPr>
      <w:bookmarkStart w:id="72" w:name="_Toc12865356"/>
      <w:r w:rsidRPr="004513D0">
        <w:t>15．倫理審査委員会の承認</w:t>
      </w:r>
      <w:bookmarkEnd w:id="72"/>
    </w:p>
    <w:p w14:paraId="5B333630" w14:textId="77777777" w:rsidR="002A69E3" w:rsidRPr="004513D0" w:rsidRDefault="00424D15">
      <w:pPr>
        <w:pStyle w:val="2"/>
      </w:pPr>
      <w:bookmarkStart w:id="73" w:name="_Toc12865357"/>
      <w:r w:rsidRPr="004513D0">
        <w:t>15.1．研究参加開始時の承認</w:t>
      </w:r>
      <w:bookmarkEnd w:id="73"/>
    </w:p>
    <w:p w14:paraId="56B2C2FA" w14:textId="7645ACFC" w:rsidR="002A69E3" w:rsidRPr="004513D0" w:rsidRDefault="00424D15">
      <w:pPr>
        <w:ind w:firstLine="240"/>
      </w:pPr>
      <w:bookmarkStart w:id="74" w:name="_pkwqa1" w:colFirst="0" w:colLast="0"/>
      <w:bookmarkEnd w:id="74"/>
      <w:r w:rsidRPr="004513D0">
        <w:t>本研究への参加に際しては、各施設の倫理審査委員会で本研究への参加が承認されなければならない</w:t>
      </w:r>
    </w:p>
    <w:p w14:paraId="22EECE1C" w14:textId="77777777" w:rsidR="002A69E3" w:rsidRPr="004513D0" w:rsidRDefault="002A69E3"/>
    <w:p w14:paraId="3E65C11E" w14:textId="77777777" w:rsidR="002A69E3" w:rsidRPr="004513D0" w:rsidRDefault="00424D15">
      <w:pPr>
        <w:pStyle w:val="2"/>
      </w:pPr>
      <w:bookmarkStart w:id="75" w:name="_Toc12865358"/>
      <w:r w:rsidRPr="004513D0">
        <w:t>15.2．承認の年次更新</w:t>
      </w:r>
      <w:bookmarkEnd w:id="75"/>
    </w:p>
    <w:p w14:paraId="60AE7789" w14:textId="77777777" w:rsidR="002A69E3" w:rsidRPr="004513D0" w:rsidRDefault="00424D15">
      <w:pPr>
        <w:ind w:firstLine="240"/>
      </w:pPr>
      <w:r w:rsidRPr="004513D0">
        <w:t>本研究に関する各施設倫理審査委員会の審査・承認の年次更新については各参加施設の規定に従う。</w:t>
      </w:r>
    </w:p>
    <w:p w14:paraId="202CA23B" w14:textId="77777777" w:rsidR="002A69E3" w:rsidRPr="004513D0" w:rsidRDefault="002A69E3"/>
    <w:p w14:paraId="6B5874A4" w14:textId="77777777" w:rsidR="002A69E3" w:rsidRPr="004513D0" w:rsidRDefault="00424D15">
      <w:pPr>
        <w:pStyle w:val="1"/>
      </w:pPr>
      <w:bookmarkStart w:id="76" w:name="_Toc12865359"/>
      <w:r w:rsidRPr="004513D0">
        <w:t>16．健康被害に対する補償</w:t>
      </w:r>
      <w:bookmarkEnd w:id="76"/>
    </w:p>
    <w:p w14:paraId="3B7FB529" w14:textId="77777777" w:rsidR="002A69E3" w:rsidRPr="004513D0" w:rsidRDefault="00424D15">
      <w:pPr>
        <w:ind w:firstLine="240"/>
      </w:pPr>
      <w:r w:rsidRPr="004513D0">
        <w:t>本研究で使用されるTKIは医薬品副作用被害救済制度の補償対象外医薬品であり、また、観察研究であることから研究に関する特別な補償には加入しない。本研究において有害事象などの健康被害が発生した場合には、通常の診療における健康被害に対する治療と同様に適切な治療を行う。</w:t>
      </w:r>
    </w:p>
    <w:p w14:paraId="2D55A9DB" w14:textId="77777777" w:rsidR="002A69E3" w:rsidRPr="004513D0" w:rsidRDefault="002A69E3"/>
    <w:p w14:paraId="4A6206BB" w14:textId="1AEBE107" w:rsidR="002A69E3" w:rsidRPr="004513D0" w:rsidRDefault="00424D15">
      <w:pPr>
        <w:pStyle w:val="1"/>
      </w:pPr>
      <w:bookmarkStart w:id="77" w:name="_Toc12865360"/>
      <w:r w:rsidRPr="004513D0">
        <w:t>17．研究に係る情報等の保管および</w:t>
      </w:r>
      <w:r w:rsidR="00C36109">
        <w:rPr>
          <w:rFonts w:hint="eastAsia"/>
        </w:rPr>
        <w:t>廃棄</w:t>
      </w:r>
      <w:r w:rsidRPr="004513D0">
        <w:t>について</w:t>
      </w:r>
      <w:bookmarkEnd w:id="77"/>
    </w:p>
    <w:p w14:paraId="2701D1CE" w14:textId="361B0336" w:rsidR="00C36109" w:rsidRPr="00C36109" w:rsidRDefault="00C36109" w:rsidP="006F2DB3">
      <w:pPr>
        <w:rPr>
          <w:b/>
        </w:rPr>
      </w:pPr>
      <w:r w:rsidRPr="00C36109">
        <w:rPr>
          <w:rFonts w:hint="eastAsia"/>
          <w:b/>
        </w:rPr>
        <w:t>症例報告書データについて、研究期間中はデータセンターにて保管を行い、研究期間終了後は固定データとして研究代表者が保管する。本データについては可能な限り長期間保管されるよう努めるが、廃棄が必要になった際はプライバシーの保護に十分配慮の上、適切な方法で廃棄を行う</w:t>
      </w:r>
      <w:r w:rsidR="0046175B">
        <w:rPr>
          <w:rFonts w:hint="eastAsia"/>
          <w:b/>
        </w:rPr>
        <w:t>。</w:t>
      </w:r>
    </w:p>
    <w:p w14:paraId="2DA91B69" w14:textId="711BAF29" w:rsidR="002A69E3" w:rsidRPr="004513D0" w:rsidRDefault="00C36109" w:rsidP="00C36109">
      <w:pPr>
        <w:ind w:firstLine="240"/>
      </w:pPr>
      <w:r w:rsidRPr="00C36109">
        <w:rPr>
          <w:rFonts w:hint="eastAsia"/>
        </w:rPr>
        <w:t>実施医療機関において、収集された情報等は研究代表者が、情報等の名</w:t>
      </w:r>
      <w:r>
        <w:rPr>
          <w:rFonts w:hint="eastAsia"/>
        </w:rPr>
        <w:t>称、保管場所、研究対象者等から得た同意の内容を把握できるように</w:t>
      </w:r>
      <w:r w:rsidR="00424D15" w:rsidRPr="004513D0">
        <w:t>、少なくとも</w:t>
      </w:r>
      <w:r w:rsidR="00424D15" w:rsidRPr="004513D0">
        <w:lastRenderedPageBreak/>
        <w:t>本研究の終了について報告された日から5年を経過した日又は本研究の結果の最終の公表について報告された日から3年を経過した日のいずれか遅い日までの期間、適切に保管する。</w:t>
      </w:r>
      <w:r w:rsidRPr="00C36109">
        <w:rPr>
          <w:rFonts w:hint="eastAsia"/>
        </w:rPr>
        <w:t>保管期間終了後は、電子データはデータ消去、文書類は裁断して適切に廃棄する。</w:t>
      </w:r>
      <w:r w:rsidR="00424D15" w:rsidRPr="004513D0">
        <w:t xml:space="preserve">匿名化した対応表を各施設で保管する場合も同様とする。　　</w:t>
      </w:r>
    </w:p>
    <w:p w14:paraId="4B8D5F10" w14:textId="77777777" w:rsidR="002A69E3" w:rsidRPr="004513D0" w:rsidRDefault="002A69E3"/>
    <w:p w14:paraId="0984D370" w14:textId="30131402" w:rsidR="002A69E3" w:rsidRPr="004513D0" w:rsidRDefault="00424D15">
      <w:pPr>
        <w:pStyle w:val="2"/>
      </w:pPr>
      <w:bookmarkStart w:id="78" w:name="_Toc12865361"/>
      <w:r w:rsidRPr="004513D0">
        <w:t>17.1．本研究で収集した情報の二次利用について</w:t>
      </w:r>
      <w:bookmarkEnd w:id="78"/>
      <w:r w:rsidRPr="004513D0">
        <w:t xml:space="preserve">　</w:t>
      </w:r>
    </w:p>
    <w:p w14:paraId="47B0355F" w14:textId="77777777" w:rsidR="002A69E3" w:rsidRPr="004513D0" w:rsidRDefault="00424D15">
      <w:pPr>
        <w:ind w:firstLine="240"/>
      </w:pPr>
      <w:r w:rsidRPr="004513D0">
        <w:t>本研究で得られたデータについては、CML TFR研究実行委員会の審査を経て承認された場合に限り、個人識別情報とリンクしない形で二次利用（サブ解析およびメタアナリシス等）することがあり得る。</w:t>
      </w:r>
    </w:p>
    <w:p w14:paraId="0D254F4F" w14:textId="77777777" w:rsidR="00FF0029" w:rsidRPr="004513D0" w:rsidRDefault="00FF0029"/>
    <w:p w14:paraId="01AAFDF3" w14:textId="77777777" w:rsidR="002A69E3" w:rsidRPr="004513D0" w:rsidRDefault="002A69E3"/>
    <w:p w14:paraId="17DD131E" w14:textId="77777777" w:rsidR="002A69E3" w:rsidRPr="004513D0" w:rsidRDefault="00424D15">
      <w:pPr>
        <w:pStyle w:val="1"/>
      </w:pPr>
      <w:bookmarkStart w:id="79" w:name="_Toc12865362"/>
      <w:r w:rsidRPr="004513D0">
        <w:t>18．研究計画の変更</w:t>
      </w:r>
      <w:bookmarkEnd w:id="79"/>
    </w:p>
    <w:p w14:paraId="17333674" w14:textId="77777777" w:rsidR="002A69E3" w:rsidRPr="004513D0" w:rsidRDefault="00424D15">
      <w:pPr>
        <w:pStyle w:val="2"/>
      </w:pPr>
      <w:bookmarkStart w:id="80" w:name="_Toc12865363"/>
      <w:r w:rsidRPr="004513D0">
        <w:t>18.1. プロトコールの内容変更の区分</w:t>
      </w:r>
      <w:bookmarkEnd w:id="80"/>
    </w:p>
    <w:p w14:paraId="22BCAE60" w14:textId="77777777" w:rsidR="002A69E3" w:rsidRPr="004513D0" w:rsidRDefault="00424D15">
      <w:pPr>
        <w:ind w:firstLine="240"/>
      </w:pPr>
      <w:r w:rsidRPr="004513D0">
        <w:t>倫理審査委員会承認後のプロトコール内容の変更を改正・改訂・メモランダムの3種類に分けて取り扱う。定義と取り扱いは下記の通りとする。</w:t>
      </w:r>
    </w:p>
    <w:p w14:paraId="3B7A4F20" w14:textId="77777777" w:rsidR="002A69E3" w:rsidRPr="004513D0" w:rsidRDefault="002A69E3">
      <w:pPr>
        <w:rPr>
          <w:b/>
        </w:rPr>
      </w:pPr>
    </w:p>
    <w:p w14:paraId="5E3A4595" w14:textId="77777777" w:rsidR="002A69E3" w:rsidRPr="004513D0" w:rsidRDefault="00424D15">
      <w:pPr>
        <w:ind w:left="220"/>
        <w:rPr>
          <w:b/>
        </w:rPr>
      </w:pPr>
      <w:r w:rsidRPr="004513D0">
        <w:rPr>
          <w:b/>
        </w:rPr>
        <w:t>1）　改正（Amendment）</w:t>
      </w:r>
    </w:p>
    <w:p w14:paraId="7C8C3F7D" w14:textId="77777777" w:rsidR="002A69E3" w:rsidRPr="004513D0" w:rsidRDefault="00424D15">
      <w:pPr>
        <w:ind w:left="220" w:firstLine="240"/>
      </w:pPr>
      <w:r w:rsidRPr="004513D0">
        <w:t>本研究のprimary endpointに関連するプロトコールの部分的変更。</w:t>
      </w:r>
    </w:p>
    <w:p w14:paraId="2B6CA0DD" w14:textId="77777777" w:rsidR="002A69E3" w:rsidRPr="004513D0" w:rsidRDefault="00424D15">
      <w:pPr>
        <w:ind w:left="220" w:firstLine="240"/>
      </w:pPr>
      <w:r w:rsidRPr="004513D0">
        <w:t>各参加施設の倫理審査委員会の審査・承認を要する。</w:t>
      </w:r>
    </w:p>
    <w:p w14:paraId="0163FAE8" w14:textId="77777777" w:rsidR="002A69E3" w:rsidRPr="004513D0" w:rsidRDefault="002A69E3">
      <w:pPr>
        <w:ind w:left="220"/>
      </w:pPr>
    </w:p>
    <w:p w14:paraId="739D47BB" w14:textId="77777777" w:rsidR="002A69E3" w:rsidRPr="004513D0" w:rsidRDefault="00424D15">
      <w:pPr>
        <w:ind w:left="220"/>
        <w:rPr>
          <w:b/>
        </w:rPr>
      </w:pPr>
      <w:r w:rsidRPr="004513D0">
        <w:rPr>
          <w:b/>
        </w:rPr>
        <w:t>2）　改訂（Revision）</w:t>
      </w:r>
    </w:p>
    <w:p w14:paraId="73D5CCA3" w14:textId="77777777" w:rsidR="002A69E3" w:rsidRPr="004513D0" w:rsidRDefault="00424D15">
      <w:pPr>
        <w:ind w:left="220" w:firstLine="240"/>
      </w:pPr>
      <w:r w:rsidRPr="004513D0">
        <w:t>本研究のprimary endpointに関連しないプロトコールの変更。</w:t>
      </w:r>
    </w:p>
    <w:p w14:paraId="6C1890C2" w14:textId="77777777" w:rsidR="002A69E3" w:rsidRPr="004513D0" w:rsidRDefault="00424D15">
      <w:pPr>
        <w:ind w:left="220" w:firstLine="240"/>
      </w:pPr>
      <w:r w:rsidRPr="004513D0">
        <w:t>各施設の倫理審査委員会の審査・承認については各参加施設の取り決めに従う。</w:t>
      </w:r>
    </w:p>
    <w:p w14:paraId="057652F3" w14:textId="77777777" w:rsidR="002A69E3" w:rsidRPr="004513D0" w:rsidRDefault="002A69E3">
      <w:pPr>
        <w:ind w:left="220"/>
      </w:pPr>
    </w:p>
    <w:p w14:paraId="2758DA1E" w14:textId="77777777" w:rsidR="002A69E3" w:rsidRPr="004513D0" w:rsidRDefault="00424D15">
      <w:pPr>
        <w:ind w:left="220"/>
        <w:rPr>
          <w:b/>
        </w:rPr>
      </w:pPr>
      <w:r w:rsidRPr="004513D0">
        <w:rPr>
          <w:b/>
        </w:rPr>
        <w:t>3)　メモランダム/覚え書き（Memorandum）</w:t>
      </w:r>
    </w:p>
    <w:p w14:paraId="16B48053" w14:textId="77777777" w:rsidR="002A69E3" w:rsidRPr="004513D0" w:rsidRDefault="00424D15">
      <w:pPr>
        <w:ind w:left="220" w:firstLine="240"/>
      </w:pPr>
      <w:r w:rsidRPr="004513D0">
        <w:t>プロトコール内容の変更ではなく、文面の解釈上のバラツキを減らす、あるいは、特に注意を喚起する等の目的で、研究代表者/研究事務局から研究の関係者に配布するプロトコールの補足説明については、研究事務局の承認と研究代表者に報告を要する。データセンターで管理する事項についてはデータセンター長の承認を必要とし、カバーページへの記載不要とする。施設IRBの審査承認については各施設の取り決めに従う。</w:t>
      </w:r>
    </w:p>
    <w:p w14:paraId="25ABB84F" w14:textId="77777777" w:rsidR="002A69E3" w:rsidRPr="004513D0" w:rsidRDefault="002A69E3"/>
    <w:p w14:paraId="47CA8577" w14:textId="77777777" w:rsidR="002A69E3" w:rsidRPr="004513D0" w:rsidRDefault="00424D15">
      <w:pPr>
        <w:pStyle w:val="2"/>
      </w:pPr>
      <w:bookmarkStart w:id="81" w:name="_Toc12865364"/>
      <w:r w:rsidRPr="004513D0">
        <w:t>18.2. プロトコール改正 / 改訂時の施設倫理委員会承認</w:t>
      </w:r>
      <w:bookmarkEnd w:id="81"/>
    </w:p>
    <w:p w14:paraId="3F6F0D1B" w14:textId="77777777" w:rsidR="002A69E3" w:rsidRPr="004513D0" w:rsidRDefault="00424D15">
      <w:pPr>
        <w:ind w:firstLine="240"/>
      </w:pPr>
      <w:r w:rsidRPr="004513D0">
        <w:t>研究期間中に本研究実施計画書もしくは患者への説明文書の改正がなされた</w:t>
      </w:r>
      <w:r w:rsidRPr="004513D0">
        <w:lastRenderedPageBreak/>
        <w:t>場合は、改正された研究実施計画書および説明文書が各参加施設の倫理審査委員会で承認されなければならない。内容変更が改正ではなく改訂の場合に、各施設の倫理審査委員会の審査・承認を要するか否かは各参加施設の取り決めに従う。</w:t>
      </w:r>
    </w:p>
    <w:p w14:paraId="7252DDFB" w14:textId="77777777" w:rsidR="002A69E3" w:rsidRPr="004513D0" w:rsidRDefault="002A69E3"/>
    <w:p w14:paraId="701ACF3B" w14:textId="30A49CF6" w:rsidR="002A69E3" w:rsidRPr="004513D0" w:rsidRDefault="00424D15">
      <w:pPr>
        <w:pStyle w:val="1"/>
      </w:pPr>
      <w:bookmarkStart w:id="82" w:name="_Toc12865365"/>
      <w:r w:rsidRPr="004513D0">
        <w:t xml:space="preserve">19.　</w:t>
      </w:r>
      <w:r w:rsidR="0006597E">
        <w:rPr>
          <w:rFonts w:hint="eastAsia"/>
        </w:rPr>
        <w:t>研究実施中の管理および有害事象報告について</w:t>
      </w:r>
      <w:bookmarkEnd w:id="82"/>
    </w:p>
    <w:p w14:paraId="4F8CFDBF" w14:textId="77777777" w:rsidR="002A69E3" w:rsidRPr="004513D0" w:rsidRDefault="00424D15">
      <w:pPr>
        <w:pStyle w:val="2"/>
      </w:pPr>
      <w:bookmarkStart w:id="83" w:name="_Toc12865366"/>
      <w:r w:rsidRPr="004513D0">
        <w:t>19.1. モニタリング</w:t>
      </w:r>
      <w:bookmarkEnd w:id="83"/>
    </w:p>
    <w:p w14:paraId="6EEF7734" w14:textId="77777777" w:rsidR="002A69E3" w:rsidRPr="004513D0" w:rsidRDefault="00424D15">
      <w:pPr>
        <w:ind w:firstLine="240"/>
      </w:pPr>
      <w:r w:rsidRPr="004513D0">
        <w:t>モニタリングはデータセンターに収集される記録用紙（CRF）の記入データに基づいて行われる中央モニタリング（central monitoringまたはin-house monitoring）であり、モニタリング報告の結果は、研究代表者に報告される。</w:t>
      </w:r>
    </w:p>
    <w:p w14:paraId="73BCF887" w14:textId="77777777" w:rsidR="002A69E3" w:rsidRPr="004513D0" w:rsidRDefault="002A69E3">
      <w:pPr>
        <w:ind w:left="440"/>
      </w:pPr>
    </w:p>
    <w:p w14:paraId="33974FF3" w14:textId="77777777" w:rsidR="002A69E3" w:rsidRPr="004513D0" w:rsidRDefault="00424D15">
      <w:pPr>
        <w:pStyle w:val="2"/>
      </w:pPr>
      <w:bookmarkStart w:id="84" w:name="_Toc12865367"/>
      <w:r w:rsidRPr="004513D0">
        <w:t>19.2. 監査</w:t>
      </w:r>
      <w:bookmarkEnd w:id="84"/>
    </w:p>
    <w:p w14:paraId="4EE2EF53" w14:textId="77777777" w:rsidR="002A69E3" w:rsidRDefault="00424D15">
      <w:pPr>
        <w:ind w:firstLine="240"/>
      </w:pPr>
      <w:r w:rsidRPr="004513D0">
        <w:t>本研究にて監査は行わない。</w:t>
      </w:r>
    </w:p>
    <w:p w14:paraId="3053DB61" w14:textId="77777777" w:rsidR="001D6B9C" w:rsidRDefault="001D6B9C">
      <w:pPr>
        <w:ind w:firstLine="240"/>
      </w:pPr>
    </w:p>
    <w:p w14:paraId="074EA7CD" w14:textId="6EBEA561" w:rsidR="001D6B9C" w:rsidRPr="004513D0" w:rsidRDefault="001D6B9C" w:rsidP="001D6B9C">
      <w:pPr>
        <w:pStyle w:val="2"/>
      </w:pPr>
      <w:bookmarkStart w:id="85" w:name="_Toc12865368"/>
      <w:r w:rsidRPr="004513D0">
        <w:t>19.</w:t>
      </w:r>
      <w:r>
        <w:t>3</w:t>
      </w:r>
      <w:r w:rsidRPr="004513D0">
        <w:t xml:space="preserve">. </w:t>
      </w:r>
      <w:r>
        <w:rPr>
          <w:rFonts w:hint="eastAsia"/>
        </w:rPr>
        <w:t>有害事象報告</w:t>
      </w:r>
      <w:bookmarkEnd w:id="85"/>
    </w:p>
    <w:p w14:paraId="1C13ECD6" w14:textId="5BEF1595" w:rsidR="001D6B9C" w:rsidRDefault="001D6B9C" w:rsidP="00E9257C">
      <w:pPr>
        <w:ind w:firstLineChars="109" w:firstLine="262"/>
        <w:rPr>
          <w:rFonts w:asciiTheme="minorEastAsia" w:hAnsiTheme="minorEastAsia"/>
          <w:lang w:val="en-US"/>
        </w:rPr>
      </w:pPr>
      <w:r>
        <w:rPr>
          <w:rFonts w:asciiTheme="minorEastAsia" w:hAnsiTheme="minorEastAsia" w:hint="eastAsia"/>
          <w:lang w:val="en-US"/>
        </w:rPr>
        <w:t>本研究の後ろ向き観察部分に関してはレトロスペクティブ研究であるため、有害事象の個別報告は行わない。また、</w:t>
      </w:r>
      <w:r w:rsidRPr="00CE0169">
        <w:rPr>
          <w:rFonts w:asciiTheme="minorEastAsia" w:hAnsiTheme="minorEastAsia" w:hint="eastAsia"/>
          <w:lang w:val="en-US"/>
        </w:rPr>
        <w:t>本研究は</w:t>
      </w:r>
      <w:r>
        <w:rPr>
          <w:rFonts w:asciiTheme="minorEastAsia" w:hAnsiTheme="minorEastAsia" w:hint="eastAsia"/>
          <w:lang w:val="en-US"/>
        </w:rPr>
        <w:t>登録後に</w:t>
      </w:r>
      <w:r w:rsidRPr="00CE0169">
        <w:rPr>
          <w:rFonts w:asciiTheme="minorEastAsia" w:hAnsiTheme="minorEastAsia" w:hint="eastAsia"/>
          <w:lang w:val="en-US"/>
        </w:rPr>
        <w:t>研究参加者への</w:t>
      </w:r>
      <w:r>
        <w:rPr>
          <w:rFonts w:asciiTheme="minorEastAsia" w:hAnsiTheme="minorEastAsia" w:hint="eastAsia"/>
          <w:lang w:val="en-US"/>
        </w:rPr>
        <w:t>特定の</w:t>
      </w:r>
      <w:r>
        <w:rPr>
          <w:rFonts w:asciiTheme="minorEastAsia" w:hAnsiTheme="minorEastAsia"/>
          <w:lang w:val="en-US"/>
        </w:rPr>
        <w:t>TKI</w:t>
      </w:r>
      <w:r w:rsidRPr="00CE0169">
        <w:rPr>
          <w:rFonts w:asciiTheme="minorEastAsia" w:hAnsiTheme="minorEastAsia" w:hint="eastAsia"/>
          <w:lang w:val="en-US"/>
        </w:rPr>
        <w:t>の投与を規定しておらず安全性情報の収集を目的としていないため</w:t>
      </w:r>
      <w:r>
        <w:rPr>
          <w:rFonts w:asciiTheme="minorEastAsia" w:hAnsiTheme="minorEastAsia" w:hint="eastAsia"/>
          <w:lang w:val="en-US"/>
        </w:rPr>
        <w:t>、研究期間内の観察部分に関しては</w:t>
      </w:r>
      <w:r w:rsidRPr="00CE0169">
        <w:rPr>
          <w:rFonts w:asciiTheme="minorEastAsia" w:hAnsiTheme="minorEastAsia" w:hint="eastAsia"/>
          <w:lang w:val="en-US"/>
        </w:rPr>
        <w:t>有害事象情報の収集及び報告は不要である。しかし、製品の安全性報告に関する規制に従い自発報告を行う。</w:t>
      </w:r>
    </w:p>
    <w:p w14:paraId="7E1BC9B8" w14:textId="77777777" w:rsidR="001D6B9C" w:rsidRPr="00212811" w:rsidRDefault="001D6B9C" w:rsidP="00E9257C">
      <w:pPr>
        <w:ind w:firstLineChars="109" w:firstLine="262"/>
        <w:rPr>
          <w:rFonts w:asciiTheme="minorEastAsia" w:hAnsiTheme="minorEastAsia"/>
          <w:lang w:val="en-US"/>
        </w:rPr>
      </w:pPr>
    </w:p>
    <w:p w14:paraId="73041904" w14:textId="77777777" w:rsidR="002A69E3" w:rsidRPr="004513D0" w:rsidRDefault="002A69E3">
      <w:pPr>
        <w:ind w:left="440"/>
      </w:pPr>
    </w:p>
    <w:p w14:paraId="7F40B4CC" w14:textId="77777777" w:rsidR="002A69E3" w:rsidRPr="004513D0" w:rsidRDefault="00424D15">
      <w:pPr>
        <w:pStyle w:val="1"/>
      </w:pPr>
      <w:bookmarkStart w:id="86" w:name="_Toc12865369"/>
      <w:r w:rsidRPr="004513D0">
        <w:t>20．研究報告・発表</w:t>
      </w:r>
      <w:bookmarkEnd w:id="86"/>
    </w:p>
    <w:p w14:paraId="7064EA2C" w14:textId="77777777" w:rsidR="002A69E3" w:rsidRPr="004513D0" w:rsidRDefault="00424D15">
      <w:r w:rsidRPr="004513D0">
        <w:t xml:space="preserve">発表時期　</w:t>
      </w:r>
    </w:p>
    <w:p w14:paraId="6A7881C2" w14:textId="77777777" w:rsidR="002A69E3" w:rsidRDefault="00424D15">
      <w:pPr>
        <w:ind w:left="561" w:hanging="240"/>
      </w:pPr>
      <w:r w:rsidRPr="004513D0">
        <w:t>1) 研究開始から４年間は毎年9月にスナップショットを用いて主な評価項目を解析し、日本血液学会総会などで年次報告を行う。</w:t>
      </w:r>
    </w:p>
    <w:p w14:paraId="2C16DF59" w14:textId="799D65BE" w:rsidR="002A69E3" w:rsidRPr="004513D0" w:rsidRDefault="005B3664" w:rsidP="002107EE">
      <w:pPr>
        <w:ind w:left="561" w:hanging="240"/>
      </w:pPr>
      <w:r w:rsidRPr="004513D0">
        <w:t>2)</w:t>
      </w:r>
      <w:r w:rsidR="00424D15" w:rsidRPr="004513D0">
        <w:t xml:space="preserve"> 2024年9月30日にデータ固定し、中間報告としてすべての評価項目を解析し、日本血液学会総会などでの報告とInternational Journal of Hematologyなどの学術雑誌に発表を行う。</w:t>
      </w:r>
    </w:p>
    <w:p w14:paraId="04831414" w14:textId="4F0782B3" w:rsidR="002A69E3" w:rsidRPr="004513D0" w:rsidRDefault="00424D15">
      <w:pPr>
        <w:ind w:left="561" w:hanging="240"/>
      </w:pPr>
      <w:r w:rsidRPr="004513D0">
        <w:t>3) 2029年</w:t>
      </w:r>
      <w:r w:rsidR="007A777D">
        <w:t>3</w:t>
      </w:r>
      <w:r w:rsidR="007A777D" w:rsidRPr="004513D0">
        <w:t>月</w:t>
      </w:r>
      <w:r w:rsidR="007A777D">
        <w:t>31</w:t>
      </w:r>
      <w:r w:rsidR="007A777D" w:rsidRPr="004513D0">
        <w:t>日</w:t>
      </w:r>
      <w:r w:rsidRPr="004513D0">
        <w:t>にデータ固定し、</w:t>
      </w:r>
      <w:r w:rsidR="00A14B0B">
        <w:rPr>
          <w:rFonts w:hint="eastAsia"/>
          <w:lang w:val="en-US"/>
        </w:rPr>
        <w:t>研究期間内に</w:t>
      </w:r>
      <w:r w:rsidRPr="004513D0">
        <w:t>すべての評価項目を解析し、</w:t>
      </w:r>
      <w:r w:rsidR="00A14B0B">
        <w:rPr>
          <w:rFonts w:hint="eastAsia"/>
        </w:rPr>
        <w:t>研究終了から</w:t>
      </w:r>
      <w:r w:rsidR="00A14B0B">
        <w:rPr>
          <w:lang w:val="en-US"/>
        </w:rPr>
        <w:t>1</w:t>
      </w:r>
      <w:r w:rsidR="00A14B0B">
        <w:rPr>
          <w:rFonts w:hint="eastAsia"/>
          <w:lang w:val="en-US"/>
        </w:rPr>
        <w:t>年</w:t>
      </w:r>
      <w:r w:rsidR="00A14B0B">
        <w:rPr>
          <w:rFonts w:hint="eastAsia"/>
        </w:rPr>
        <w:t>以内に</w:t>
      </w:r>
      <w:r w:rsidRPr="004513D0">
        <w:t>日本血液学会総会などでの報告</w:t>
      </w:r>
      <w:r w:rsidR="00A14B0B">
        <w:rPr>
          <w:rFonts w:hint="eastAsia"/>
        </w:rPr>
        <w:t>と</w:t>
      </w:r>
      <w:r w:rsidRPr="004513D0">
        <w:t>International Journal of Hematologyなどの学術雑誌に発表を行う。</w:t>
      </w:r>
    </w:p>
    <w:p w14:paraId="33A60654" w14:textId="77777777" w:rsidR="002A69E3" w:rsidRPr="004513D0" w:rsidRDefault="002A69E3"/>
    <w:p w14:paraId="034D8DCD" w14:textId="77777777" w:rsidR="002A69E3" w:rsidRPr="004513D0" w:rsidRDefault="00424D15">
      <w:pPr>
        <w:pStyle w:val="1"/>
      </w:pPr>
      <w:bookmarkStart w:id="87" w:name="_Toc12865370"/>
      <w:r w:rsidRPr="004513D0">
        <w:t>21．研究期間</w:t>
      </w:r>
      <w:bookmarkEnd w:id="87"/>
      <w:r w:rsidRPr="004513D0">
        <w:t xml:space="preserve"> </w:t>
      </w:r>
    </w:p>
    <w:p w14:paraId="51459750" w14:textId="77777777" w:rsidR="002A69E3" w:rsidRPr="004513D0" w:rsidRDefault="00424D15">
      <w:pPr>
        <w:ind w:firstLine="260"/>
        <w:rPr>
          <w:b/>
          <w:u w:val="single"/>
        </w:rPr>
      </w:pPr>
      <w:r w:rsidRPr="004513D0">
        <w:rPr>
          <w:b/>
          <w:u w:val="single"/>
        </w:rPr>
        <w:t>症例登録期間</w:t>
      </w:r>
    </w:p>
    <w:p w14:paraId="75CAA77C" w14:textId="1869BF44" w:rsidR="002A69E3" w:rsidRPr="004513D0" w:rsidRDefault="00C36109">
      <w:pPr>
        <w:ind w:firstLine="480"/>
      </w:pPr>
      <w:r w:rsidRPr="00C36109">
        <w:rPr>
          <w:rFonts w:hint="eastAsia"/>
        </w:rPr>
        <w:t>倫理審査委員会承認日</w:t>
      </w:r>
      <w:r w:rsidR="00424D15" w:rsidRPr="004513D0">
        <w:t>から2024年</w:t>
      </w:r>
      <w:r w:rsidR="007A777D">
        <w:t>3</w:t>
      </w:r>
      <w:r w:rsidR="007A777D" w:rsidRPr="004513D0">
        <w:t>月</w:t>
      </w:r>
      <w:r w:rsidR="007A777D">
        <w:t>31</w:t>
      </w:r>
      <w:r w:rsidR="007A777D" w:rsidRPr="004513D0">
        <w:t>日</w:t>
      </w:r>
      <w:r w:rsidR="00424D15" w:rsidRPr="004513D0">
        <w:t>（5年間）</w:t>
      </w:r>
    </w:p>
    <w:p w14:paraId="7A884591" w14:textId="77777777" w:rsidR="002A69E3" w:rsidRPr="004513D0" w:rsidRDefault="00424D15">
      <w:pPr>
        <w:ind w:firstLine="260"/>
        <w:rPr>
          <w:b/>
          <w:u w:val="single"/>
        </w:rPr>
      </w:pPr>
      <w:r w:rsidRPr="004513D0">
        <w:rPr>
          <w:b/>
          <w:u w:val="single"/>
        </w:rPr>
        <w:lastRenderedPageBreak/>
        <w:t>総研究期間</w:t>
      </w:r>
    </w:p>
    <w:p w14:paraId="58E1BFE3" w14:textId="2BDB5CFC" w:rsidR="002A69E3" w:rsidRPr="004513D0" w:rsidRDefault="00C36109">
      <w:pPr>
        <w:ind w:firstLine="480"/>
      </w:pPr>
      <w:r w:rsidRPr="00C36109">
        <w:rPr>
          <w:rFonts w:hint="eastAsia"/>
        </w:rPr>
        <w:t>倫理審査委員会承認日</w:t>
      </w:r>
      <w:r w:rsidR="00424D15" w:rsidRPr="004513D0">
        <w:t>から2029年9月30日（10年間）</w:t>
      </w:r>
    </w:p>
    <w:p w14:paraId="678B5D2D" w14:textId="77777777" w:rsidR="002A69E3" w:rsidRPr="004513D0" w:rsidRDefault="002A69E3">
      <w:pPr>
        <w:ind w:firstLine="480"/>
      </w:pPr>
    </w:p>
    <w:p w14:paraId="68826EE5" w14:textId="77777777" w:rsidR="002A69E3" w:rsidRPr="004513D0" w:rsidRDefault="00424D15">
      <w:pPr>
        <w:pStyle w:val="1"/>
        <w:jc w:val="left"/>
      </w:pPr>
      <w:bookmarkStart w:id="88" w:name="_Toc12865371"/>
      <w:r w:rsidRPr="004513D0">
        <w:t>22．研究組織</w:t>
      </w:r>
      <w:bookmarkEnd w:id="88"/>
    </w:p>
    <w:p w14:paraId="6EE54871" w14:textId="77777777" w:rsidR="002A69E3" w:rsidRPr="004513D0" w:rsidRDefault="00424D15">
      <w:pPr>
        <w:pStyle w:val="2"/>
      </w:pPr>
      <w:bookmarkStart w:id="89" w:name="_Toc12865372"/>
      <w:r w:rsidRPr="004513D0">
        <w:t>22.1.　研究実施責任</w:t>
      </w:r>
      <w:bookmarkEnd w:id="89"/>
    </w:p>
    <w:p w14:paraId="6D18FD8D" w14:textId="77777777" w:rsidR="002A69E3" w:rsidRPr="004513D0" w:rsidRDefault="00424D15">
      <w:r w:rsidRPr="004513D0">
        <w:t>一般社団法人日本血液学会（JSH）理事長　赤司</w:t>
      </w:r>
      <w:r w:rsidR="00FB176D" w:rsidRPr="004513D0">
        <w:rPr>
          <w:rFonts w:hint="eastAsia"/>
        </w:rPr>
        <w:t xml:space="preserve"> </w:t>
      </w:r>
      <w:r w:rsidRPr="004513D0">
        <w:t xml:space="preserve">浩一 </w:t>
      </w:r>
    </w:p>
    <w:p w14:paraId="72C3F6A4" w14:textId="77777777" w:rsidR="002A69E3" w:rsidRPr="004513D0" w:rsidRDefault="00424D15">
      <w:r w:rsidRPr="004513D0">
        <w:t>学術・統計調査委員会委員長　副理事長　松村到</w:t>
      </w:r>
    </w:p>
    <w:p w14:paraId="62D9EB7C" w14:textId="77777777" w:rsidR="002A69E3" w:rsidRPr="004513D0" w:rsidRDefault="00424D15">
      <w:pPr>
        <w:ind w:left="440"/>
      </w:pPr>
      <w:r w:rsidRPr="004513D0">
        <w:t>東京都文京区本郷3-28-8 日内会館８階</w:t>
      </w:r>
    </w:p>
    <w:p w14:paraId="5D2BE244" w14:textId="77777777" w:rsidR="002A69E3" w:rsidRPr="004513D0" w:rsidRDefault="00424D15">
      <w:pPr>
        <w:ind w:left="440"/>
      </w:pPr>
      <w:r w:rsidRPr="004513D0">
        <w:t>Phone: 03-5844-2065　　Fax: 03-5844-2066</w:t>
      </w:r>
    </w:p>
    <w:p w14:paraId="77942BF5" w14:textId="77777777" w:rsidR="002A69E3" w:rsidRPr="004513D0" w:rsidRDefault="00424D15">
      <w:r w:rsidRPr="004513D0">
        <w:t>＊本研究の実施に対して責任を持つ。</w:t>
      </w:r>
    </w:p>
    <w:p w14:paraId="0A674D5E" w14:textId="77777777" w:rsidR="002A69E3" w:rsidRPr="004513D0" w:rsidRDefault="002A69E3"/>
    <w:p w14:paraId="380FD043" w14:textId="77777777" w:rsidR="002A69E3" w:rsidRPr="004513D0" w:rsidRDefault="00424D15">
      <w:pPr>
        <w:pStyle w:val="2"/>
      </w:pPr>
      <w:bookmarkStart w:id="90" w:name="_Toc12865373"/>
      <w:r w:rsidRPr="004513D0">
        <w:t>22.2.　CML TFR研究実行委員会</w:t>
      </w:r>
      <w:bookmarkEnd w:id="90"/>
    </w:p>
    <w:p w14:paraId="51B56E42" w14:textId="77777777" w:rsidR="002A69E3" w:rsidRPr="004513D0" w:rsidRDefault="00424D15">
      <w:r w:rsidRPr="004513D0">
        <w:t>委員長： 高橋</w:t>
      </w:r>
      <w:r w:rsidR="00FB176D" w:rsidRPr="004513D0">
        <w:rPr>
          <w:rFonts w:hint="eastAsia"/>
        </w:rPr>
        <w:t xml:space="preserve"> </w:t>
      </w:r>
      <w:r w:rsidRPr="004513D0">
        <w:t>直人（秋田大学医学部 血液腎臓膠原病内科）</w:t>
      </w:r>
    </w:p>
    <w:p w14:paraId="3853C49A" w14:textId="77777777" w:rsidR="002A69E3" w:rsidRPr="004513D0" w:rsidRDefault="00424D15">
      <w:r w:rsidRPr="004513D0">
        <w:t>副委員長：木村</w:t>
      </w:r>
      <w:r w:rsidR="00FB176D" w:rsidRPr="004513D0">
        <w:rPr>
          <w:rFonts w:hint="eastAsia"/>
        </w:rPr>
        <w:t xml:space="preserve"> </w:t>
      </w:r>
      <w:r w:rsidRPr="004513D0">
        <w:t>晋也（佐賀大学医学部 血液・呼吸器・腫瘍内科）</w:t>
      </w:r>
    </w:p>
    <w:p w14:paraId="00AA0DA2" w14:textId="3D0F1A8E" w:rsidR="002A69E3" w:rsidRPr="004513D0" w:rsidRDefault="00424D15">
      <w:r w:rsidRPr="004513D0">
        <w:t>委員：</w:t>
      </w:r>
      <w:r w:rsidR="007A777D">
        <w:t xml:space="preserve">  </w:t>
      </w:r>
      <w:r w:rsidRPr="004513D0">
        <w:t>猪口</w:t>
      </w:r>
      <w:r w:rsidR="00FB176D" w:rsidRPr="004513D0">
        <w:rPr>
          <w:rFonts w:hint="eastAsia"/>
        </w:rPr>
        <w:t xml:space="preserve"> </w:t>
      </w:r>
      <w:r w:rsidRPr="004513D0">
        <w:t>孝一（日本医科大学医学部 血液内科）</w:t>
      </w:r>
    </w:p>
    <w:p w14:paraId="16D9B07C" w14:textId="5D55A430" w:rsidR="002A69E3" w:rsidRPr="004513D0" w:rsidRDefault="007A777D" w:rsidP="00DE2C98">
      <w:pPr>
        <w:ind w:firstLineChars="300" w:firstLine="720"/>
      </w:pPr>
      <w:r>
        <w:t xml:space="preserve"> </w:t>
      </w:r>
      <w:r w:rsidR="00424D15" w:rsidRPr="004513D0">
        <w:t>入山</w:t>
      </w:r>
      <w:r w:rsidR="00FB176D" w:rsidRPr="004513D0">
        <w:rPr>
          <w:rFonts w:hint="eastAsia"/>
        </w:rPr>
        <w:t xml:space="preserve"> </w:t>
      </w:r>
      <w:r w:rsidR="00424D15" w:rsidRPr="004513D0">
        <w:t>規良（日本大学医学部 血液膠原病内科）</w:t>
      </w:r>
    </w:p>
    <w:p w14:paraId="3854341B" w14:textId="77777777" w:rsidR="002A69E3" w:rsidRPr="004513D0" w:rsidRDefault="00424D15">
      <w:pPr>
        <w:ind w:left="323" w:firstLine="557"/>
      </w:pPr>
      <w:r w:rsidRPr="004513D0">
        <w:t>大橋</w:t>
      </w:r>
      <w:r w:rsidR="00FB176D" w:rsidRPr="004513D0">
        <w:rPr>
          <w:rFonts w:hint="eastAsia"/>
        </w:rPr>
        <w:t xml:space="preserve"> </w:t>
      </w:r>
      <w:r w:rsidRPr="004513D0">
        <w:t>一輝（東京都立駒込病院 血液内科）</w:t>
      </w:r>
    </w:p>
    <w:p w14:paraId="115FB17D" w14:textId="77777777" w:rsidR="002A69E3" w:rsidRPr="004513D0" w:rsidRDefault="00424D15">
      <w:pPr>
        <w:ind w:left="323" w:firstLine="557"/>
      </w:pPr>
      <w:r w:rsidRPr="004513D0">
        <w:t>川口</w:t>
      </w:r>
      <w:r w:rsidR="00FB176D" w:rsidRPr="004513D0">
        <w:rPr>
          <w:rFonts w:hint="eastAsia"/>
        </w:rPr>
        <w:t xml:space="preserve"> </w:t>
      </w:r>
      <w:r w:rsidRPr="004513D0">
        <w:t>辰哉（熊本保健科学大学 保健科学部　医学検査学科）</w:t>
      </w:r>
    </w:p>
    <w:p w14:paraId="1F28B0B9" w14:textId="77777777" w:rsidR="002A69E3" w:rsidRPr="004513D0" w:rsidRDefault="00424D15">
      <w:pPr>
        <w:ind w:left="40" w:firstLine="840"/>
      </w:pPr>
      <w:r w:rsidRPr="004513D0">
        <w:t>高久</w:t>
      </w:r>
      <w:r w:rsidR="00FB176D" w:rsidRPr="004513D0">
        <w:rPr>
          <w:rFonts w:hint="eastAsia"/>
        </w:rPr>
        <w:t xml:space="preserve"> </w:t>
      </w:r>
      <w:r w:rsidRPr="004513D0">
        <w:t>智生（順天堂大学医学部 血液内科）</w:t>
      </w:r>
    </w:p>
    <w:p w14:paraId="77107867" w14:textId="77777777" w:rsidR="002A69E3" w:rsidRPr="004513D0" w:rsidRDefault="00424D15">
      <w:pPr>
        <w:ind w:left="323" w:firstLine="557"/>
      </w:pPr>
      <w:r w:rsidRPr="004513D0">
        <w:t>中世古</w:t>
      </w:r>
      <w:r w:rsidR="00FB176D" w:rsidRPr="004513D0">
        <w:rPr>
          <w:rFonts w:hint="eastAsia"/>
        </w:rPr>
        <w:t xml:space="preserve"> </w:t>
      </w:r>
      <w:r w:rsidRPr="004513D0">
        <w:t>知昭（国際医療福祉大学 医学部血液内科学）</w:t>
      </w:r>
    </w:p>
    <w:p w14:paraId="4DE80765" w14:textId="77777777" w:rsidR="002A69E3" w:rsidRPr="004513D0" w:rsidRDefault="00424D15">
      <w:pPr>
        <w:ind w:left="323" w:firstLine="557"/>
      </w:pPr>
      <w:r w:rsidRPr="004513D0">
        <w:t>松木</w:t>
      </w:r>
      <w:r w:rsidR="00FB176D" w:rsidRPr="004513D0">
        <w:rPr>
          <w:rFonts w:hint="eastAsia"/>
        </w:rPr>
        <w:t xml:space="preserve"> </w:t>
      </w:r>
      <w:r w:rsidRPr="004513D0">
        <w:t>絵里（慶應義塾大学医学部 血液内科）</w:t>
      </w:r>
    </w:p>
    <w:p w14:paraId="597090D2" w14:textId="77777777" w:rsidR="002A69E3" w:rsidRPr="004513D0" w:rsidRDefault="00424D15">
      <w:pPr>
        <w:ind w:left="40" w:firstLine="840"/>
      </w:pPr>
      <w:r w:rsidRPr="004513D0">
        <w:t>松村</w:t>
      </w:r>
      <w:r w:rsidR="00FB176D" w:rsidRPr="004513D0">
        <w:t xml:space="preserve"> </w:t>
      </w:r>
      <w:r w:rsidRPr="004513D0">
        <w:t>到（近畿大学医学部 血液・膠原病内科）</w:t>
      </w:r>
    </w:p>
    <w:p w14:paraId="4E70AE0B" w14:textId="77777777" w:rsidR="002A69E3" w:rsidRPr="004513D0" w:rsidRDefault="00424D15" w:rsidP="00D820FD">
      <w:pPr>
        <w:ind w:left="1600" w:hanging="880"/>
      </w:pPr>
      <w:r w:rsidRPr="004513D0">
        <w:t xml:space="preserve">　南 陽介（国立がんセンター東病院 血液腫瘍科）</w:t>
      </w:r>
    </w:p>
    <w:p w14:paraId="53D1A919" w14:textId="160AC662" w:rsidR="002A69E3" w:rsidRPr="004513D0" w:rsidRDefault="00424D15">
      <w:pPr>
        <w:ind w:left="323" w:firstLine="557"/>
      </w:pPr>
      <w:r w:rsidRPr="004513D0">
        <w:t>宮本</w:t>
      </w:r>
      <w:r w:rsidR="00FB176D" w:rsidRPr="004513D0">
        <w:rPr>
          <w:rFonts w:hint="eastAsia"/>
        </w:rPr>
        <w:t xml:space="preserve"> </w:t>
      </w:r>
      <w:r w:rsidRPr="004513D0">
        <w:t>敏浩（</w:t>
      </w:r>
      <w:r w:rsidR="00C768D9" w:rsidRPr="004513D0">
        <w:rPr>
          <w:lang w:val="en-US"/>
        </w:rPr>
        <w:t>九州大学病院　血液・腫瘍・心血管内科</w:t>
      </w:r>
      <w:r w:rsidRPr="004513D0">
        <w:t>）</w:t>
      </w:r>
    </w:p>
    <w:p w14:paraId="2D50FA67" w14:textId="77777777" w:rsidR="002A69E3" w:rsidRPr="004513D0" w:rsidRDefault="00424D15">
      <w:pPr>
        <w:ind w:left="323" w:firstLine="557"/>
      </w:pPr>
      <w:r w:rsidRPr="004513D0">
        <w:t>齋藤 俊樹（名古屋医療センター 臨床研究センター）</w:t>
      </w:r>
    </w:p>
    <w:p w14:paraId="16A2FE7D" w14:textId="77777777" w:rsidR="002A69E3" w:rsidRPr="004513D0" w:rsidRDefault="00424D15">
      <w:pPr>
        <w:ind w:firstLine="240"/>
      </w:pPr>
      <w:r w:rsidRPr="004513D0">
        <w:t>＊本研究を発案計画し研究全体を運営・統括する。</w:t>
      </w:r>
    </w:p>
    <w:p w14:paraId="0609B650" w14:textId="77777777" w:rsidR="002A69E3" w:rsidRPr="004513D0" w:rsidRDefault="002A69E3">
      <w:pPr>
        <w:ind w:firstLine="240"/>
      </w:pPr>
    </w:p>
    <w:p w14:paraId="3DA3D7AE" w14:textId="77777777" w:rsidR="002A69E3" w:rsidRPr="004513D0" w:rsidRDefault="00424D15">
      <w:pPr>
        <w:pStyle w:val="2"/>
      </w:pPr>
      <w:bookmarkStart w:id="91" w:name="_Toc12865374"/>
      <w:r w:rsidRPr="004513D0">
        <w:t>22.3.　研究事務局：</w:t>
      </w:r>
      <w:bookmarkEnd w:id="91"/>
      <w:r w:rsidRPr="004513D0">
        <w:t xml:space="preserve"> </w:t>
      </w:r>
    </w:p>
    <w:p w14:paraId="51960607" w14:textId="77777777" w:rsidR="002A69E3" w:rsidRPr="004513D0" w:rsidRDefault="00424D15">
      <w:pPr>
        <w:ind w:left="983"/>
      </w:pPr>
      <w:r w:rsidRPr="004513D0">
        <w:t>研究事務局：木村</w:t>
      </w:r>
      <w:r w:rsidR="00FB176D" w:rsidRPr="004513D0">
        <w:rPr>
          <w:rFonts w:hint="eastAsia"/>
        </w:rPr>
        <w:t xml:space="preserve"> </w:t>
      </w:r>
      <w:r w:rsidRPr="004513D0">
        <w:t>晋也</w:t>
      </w:r>
    </w:p>
    <w:p w14:paraId="03720FE4" w14:textId="77777777" w:rsidR="002A69E3" w:rsidRPr="004513D0" w:rsidRDefault="00424D15">
      <w:pPr>
        <w:ind w:left="983"/>
      </w:pPr>
      <w:r w:rsidRPr="004513D0">
        <w:t>佐賀大学医学部 内科学講座 血液・呼吸器・腫瘍内科</w:t>
      </w:r>
    </w:p>
    <w:p w14:paraId="49D84D08" w14:textId="77777777" w:rsidR="002A69E3" w:rsidRPr="004513D0" w:rsidRDefault="00424D15">
      <w:pPr>
        <w:ind w:left="983"/>
        <w:rPr>
          <w:lang w:val="en-US"/>
        </w:rPr>
      </w:pPr>
      <w:r w:rsidRPr="004513D0">
        <w:rPr>
          <w:lang w:val="en-US"/>
        </w:rPr>
        <w:t>Phone: 0952-34-2366</w:t>
      </w:r>
      <w:r w:rsidRPr="004513D0">
        <w:t xml:space="preserve">　　</w:t>
      </w:r>
      <w:r w:rsidRPr="004513D0">
        <w:rPr>
          <w:lang w:val="en-US"/>
        </w:rPr>
        <w:t>Fax: 0952-34-2017</w:t>
      </w:r>
    </w:p>
    <w:p w14:paraId="0A101662" w14:textId="77777777" w:rsidR="002A69E3" w:rsidRPr="004513D0" w:rsidRDefault="00424D15">
      <w:pPr>
        <w:ind w:left="983"/>
        <w:rPr>
          <w:lang w:val="en-US"/>
        </w:rPr>
      </w:pPr>
      <w:r w:rsidRPr="004513D0">
        <w:rPr>
          <w:lang w:val="en-US"/>
        </w:rPr>
        <w:t>e-mail：shkimu@cc.saga-u.ac.jp</w:t>
      </w:r>
    </w:p>
    <w:p w14:paraId="2637655A" w14:textId="77777777" w:rsidR="002A69E3" w:rsidRPr="004513D0" w:rsidRDefault="00424D15">
      <w:pPr>
        <w:ind w:left="323"/>
      </w:pPr>
      <w:r w:rsidRPr="004513D0">
        <w:t>＊実行委員会の指示により本研究の進捗管理、調整および記録の保管を行う</w:t>
      </w:r>
    </w:p>
    <w:p w14:paraId="3637E691" w14:textId="77777777" w:rsidR="002A69E3" w:rsidRPr="004513D0" w:rsidRDefault="00424D15">
      <w:pPr>
        <w:ind w:left="323"/>
      </w:pPr>
      <w:r w:rsidRPr="004513D0">
        <w:tab/>
      </w:r>
    </w:p>
    <w:p w14:paraId="19951D59" w14:textId="77777777" w:rsidR="002A69E3" w:rsidRPr="004513D0" w:rsidRDefault="00424D15">
      <w:pPr>
        <w:pStyle w:val="2"/>
      </w:pPr>
      <w:bookmarkStart w:id="92" w:name="_Toc12865375"/>
      <w:r w:rsidRPr="004513D0">
        <w:t>22.4.　統計解析責任者</w:t>
      </w:r>
      <w:bookmarkEnd w:id="92"/>
    </w:p>
    <w:p w14:paraId="08939C8D" w14:textId="77777777" w:rsidR="00DE2C98" w:rsidRPr="004513D0" w:rsidRDefault="00424D15">
      <w:pPr>
        <w:ind w:left="660" w:firstLine="353"/>
      </w:pPr>
      <w:r w:rsidRPr="004513D0">
        <w:t>山本</w:t>
      </w:r>
      <w:r w:rsidR="00FB176D" w:rsidRPr="004513D0">
        <w:t xml:space="preserve"> </w:t>
      </w:r>
      <w:r w:rsidRPr="004513D0">
        <w:t>松雄（名古屋医療センター臨床研究センター 情報システム研究</w:t>
      </w:r>
      <w:r w:rsidRPr="004513D0">
        <w:lastRenderedPageBreak/>
        <w:t>室)</w:t>
      </w:r>
    </w:p>
    <w:p w14:paraId="21E99010" w14:textId="77777777" w:rsidR="002A69E3" w:rsidRPr="004513D0" w:rsidRDefault="00424D15">
      <w:pPr>
        <w:ind w:left="660" w:firstLine="353"/>
      </w:pPr>
      <w:r w:rsidRPr="004513D0">
        <w:t xml:space="preserve">特定非営利活動法人臨床研究支援機構(OSCR) </w:t>
      </w:r>
    </w:p>
    <w:p w14:paraId="18486A31" w14:textId="77777777" w:rsidR="002A69E3" w:rsidRPr="004513D0" w:rsidRDefault="00424D15" w:rsidP="00DE2C98">
      <w:pPr>
        <w:ind w:firstLineChars="200" w:firstLine="480"/>
      </w:pPr>
      <w:r w:rsidRPr="004513D0">
        <w:t>＊本研究において統計解析を行う</w:t>
      </w:r>
    </w:p>
    <w:p w14:paraId="2D1E8C01" w14:textId="77777777" w:rsidR="002A69E3" w:rsidRPr="004513D0" w:rsidRDefault="002A69E3"/>
    <w:p w14:paraId="07EDD0AB" w14:textId="77777777" w:rsidR="002A69E3" w:rsidRPr="004513D0" w:rsidRDefault="00424D15" w:rsidP="00871597">
      <w:pPr>
        <w:pStyle w:val="2"/>
      </w:pPr>
      <w:bookmarkStart w:id="93" w:name="_Toc12865376"/>
      <w:r w:rsidRPr="004513D0">
        <w:t>22.5. データセンター</w:t>
      </w:r>
      <w:bookmarkEnd w:id="93"/>
    </w:p>
    <w:p w14:paraId="496ADC7A" w14:textId="77777777" w:rsidR="002A69E3" w:rsidRPr="004513D0" w:rsidRDefault="00424D15">
      <w:pPr>
        <w:ind w:left="660" w:firstLine="353"/>
      </w:pPr>
      <w:r w:rsidRPr="004513D0">
        <w:t>齋藤</w:t>
      </w:r>
      <w:r w:rsidR="00FB176D" w:rsidRPr="004513D0">
        <w:rPr>
          <w:rFonts w:hint="eastAsia"/>
        </w:rPr>
        <w:t xml:space="preserve"> </w:t>
      </w:r>
      <w:r w:rsidRPr="004513D0">
        <w:t>明子（名古屋医療センター臨床研究センター 臨床疫学研究室)</w:t>
      </w:r>
    </w:p>
    <w:p w14:paraId="2399228B" w14:textId="77777777" w:rsidR="002A69E3" w:rsidRPr="004513D0" w:rsidRDefault="00424D15">
      <w:pPr>
        <w:ind w:left="660" w:firstLine="353"/>
      </w:pPr>
      <w:r w:rsidRPr="004513D0">
        <w:t>特定非営利活動法人臨床研究支援機構(OSCR) データセンター</w:t>
      </w:r>
    </w:p>
    <w:p w14:paraId="44CEE964" w14:textId="77777777" w:rsidR="002A69E3" w:rsidRPr="004513D0" w:rsidRDefault="00424D15">
      <w:pPr>
        <w:ind w:left="660" w:firstLine="353"/>
      </w:pPr>
      <w:r w:rsidRPr="004513D0">
        <w:t>〒460-0001　愛知県名古屋市中区三の丸4-1-1</w:t>
      </w:r>
    </w:p>
    <w:p w14:paraId="50DC7253" w14:textId="77777777" w:rsidR="002A69E3" w:rsidRPr="004513D0" w:rsidRDefault="00424D15">
      <w:pPr>
        <w:ind w:left="660" w:firstLine="353"/>
        <w:rPr>
          <w:lang w:val="en-US"/>
        </w:rPr>
      </w:pPr>
      <w:r w:rsidRPr="004513D0">
        <w:rPr>
          <w:lang w:val="en-US"/>
        </w:rPr>
        <w:t>Phone: 052-951-1111（</w:t>
      </w:r>
      <w:r w:rsidRPr="004513D0">
        <w:t>内線</w:t>
      </w:r>
      <w:r w:rsidRPr="004513D0">
        <w:rPr>
          <w:lang w:val="en-US"/>
        </w:rPr>
        <w:t>2751）</w:t>
      </w:r>
      <w:r w:rsidRPr="004513D0">
        <w:t xml:space="preserve">　</w:t>
      </w:r>
      <w:r w:rsidRPr="004513D0">
        <w:rPr>
          <w:lang w:val="en-US"/>
        </w:rPr>
        <w:t>Fax: 052-972-7740</w:t>
      </w:r>
    </w:p>
    <w:p w14:paraId="341AC18E" w14:textId="77777777" w:rsidR="002A69E3" w:rsidRPr="004513D0" w:rsidRDefault="00424D15">
      <w:pPr>
        <w:ind w:left="660" w:firstLine="353"/>
        <w:rPr>
          <w:lang w:val="en-US"/>
        </w:rPr>
      </w:pPr>
      <w:r w:rsidRPr="004513D0">
        <w:rPr>
          <w:lang w:val="en-US"/>
        </w:rPr>
        <w:t>E-mail: datacenter@nnh.go.jp</w:t>
      </w:r>
    </w:p>
    <w:p w14:paraId="0180318B" w14:textId="77777777" w:rsidR="002A69E3" w:rsidRPr="004513D0" w:rsidRDefault="00424D15" w:rsidP="00DE2C98">
      <w:pPr>
        <w:ind w:firstLineChars="200" w:firstLine="480"/>
      </w:pPr>
      <w:r w:rsidRPr="004513D0">
        <w:t>＊本研究における症例登録、データ管理、中央モニタリングを行う。</w:t>
      </w:r>
    </w:p>
    <w:p w14:paraId="2DF94384" w14:textId="77777777" w:rsidR="002A69E3" w:rsidRPr="004513D0" w:rsidRDefault="002A69E3"/>
    <w:p w14:paraId="4E9FE443" w14:textId="77777777" w:rsidR="002A69E3" w:rsidRPr="004513D0" w:rsidRDefault="00424D15">
      <w:pPr>
        <w:pStyle w:val="2"/>
      </w:pPr>
      <w:bookmarkStart w:id="94" w:name="_Toc12865377"/>
      <w:r w:rsidRPr="004513D0">
        <w:t>22.6.　参加予定医療機関</w:t>
      </w:r>
      <w:bookmarkEnd w:id="94"/>
    </w:p>
    <w:p w14:paraId="6704C45A" w14:textId="77777777" w:rsidR="002A69E3" w:rsidRPr="004513D0" w:rsidRDefault="00424D15">
      <w:pPr>
        <w:ind w:left="323"/>
      </w:pPr>
      <w:r w:rsidRPr="004513D0">
        <w:t>日本血液学会員が所属する施設で本研究について倫理委員会の承認が得られた施設。</w:t>
      </w:r>
    </w:p>
    <w:p w14:paraId="3CEDA955" w14:textId="6F51A033" w:rsidR="00D73386" w:rsidRPr="004513D0" w:rsidRDefault="00D73386">
      <w:r w:rsidRPr="004513D0">
        <w:br w:type="page"/>
      </w:r>
    </w:p>
    <w:p w14:paraId="297BAD81" w14:textId="77777777" w:rsidR="002A69E3" w:rsidRPr="004513D0" w:rsidRDefault="002A69E3">
      <w:pPr>
        <w:widowControl/>
        <w:jc w:val="left"/>
      </w:pPr>
    </w:p>
    <w:p w14:paraId="0485E64B" w14:textId="2075CFFA" w:rsidR="002A69E3" w:rsidRPr="004513D0" w:rsidRDefault="00424D15">
      <w:pPr>
        <w:pStyle w:val="1"/>
        <w:rPr>
          <w:lang w:val="en-US"/>
        </w:rPr>
      </w:pPr>
      <w:bookmarkStart w:id="95" w:name="_Toc12865378"/>
      <w:r w:rsidRPr="004513D0">
        <w:rPr>
          <w:lang w:val="en-US"/>
        </w:rPr>
        <w:t>23．</w:t>
      </w:r>
      <w:r w:rsidRPr="004513D0">
        <w:t>参考文献</w:t>
      </w:r>
      <w:bookmarkEnd w:id="95"/>
    </w:p>
    <w:p w14:paraId="1FE07881" w14:textId="77777777" w:rsidR="002A69E3" w:rsidRPr="004513D0" w:rsidRDefault="00424D15">
      <w:pPr>
        <w:pBdr>
          <w:top w:val="nil"/>
          <w:left w:val="nil"/>
          <w:bottom w:val="nil"/>
          <w:right w:val="nil"/>
          <w:between w:val="nil"/>
        </w:pBdr>
        <w:spacing w:line="240" w:lineRule="auto"/>
        <w:ind w:left="480" w:hanging="480"/>
        <w:rPr>
          <w:sz w:val="22"/>
          <w:szCs w:val="22"/>
          <w:lang w:val="en-US"/>
        </w:rPr>
      </w:pPr>
      <w:r w:rsidRPr="004513D0">
        <w:rPr>
          <w:sz w:val="22"/>
          <w:szCs w:val="22"/>
          <w:lang w:val="en-US"/>
        </w:rPr>
        <w:t>1.</w:t>
      </w:r>
      <w:r w:rsidRPr="004513D0">
        <w:rPr>
          <w:sz w:val="22"/>
          <w:szCs w:val="22"/>
          <w:lang w:val="en-US"/>
        </w:rPr>
        <w:tab/>
        <w:t xml:space="preserve">Sokal JE, Cox EB, Baccarani M, et al. Prognostic discrimination in "good-risk" chronic granulocytic leukemia. </w:t>
      </w:r>
      <w:r w:rsidRPr="004513D0">
        <w:rPr>
          <w:i/>
          <w:sz w:val="22"/>
          <w:szCs w:val="22"/>
          <w:lang w:val="en-US"/>
        </w:rPr>
        <w:t>Blood</w:t>
      </w:r>
      <w:r w:rsidRPr="004513D0">
        <w:rPr>
          <w:sz w:val="22"/>
          <w:szCs w:val="22"/>
          <w:lang w:val="en-US"/>
        </w:rPr>
        <w:t xml:space="preserve"> 1984; </w:t>
      </w:r>
      <w:r w:rsidRPr="004513D0">
        <w:rPr>
          <w:b/>
          <w:sz w:val="22"/>
          <w:szCs w:val="22"/>
          <w:lang w:val="en-US"/>
        </w:rPr>
        <w:t>63</w:t>
      </w:r>
      <w:r w:rsidRPr="004513D0">
        <w:rPr>
          <w:sz w:val="22"/>
          <w:szCs w:val="22"/>
          <w:lang w:val="en-US"/>
        </w:rPr>
        <w:t>(4): 789-99.</w:t>
      </w:r>
    </w:p>
    <w:p w14:paraId="017BBB9E" w14:textId="77777777" w:rsidR="002A69E3" w:rsidRPr="004513D0" w:rsidRDefault="00424D15">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sidRPr="004513D0">
        <w:rPr>
          <w:sz w:val="22"/>
          <w:szCs w:val="22"/>
          <w:lang w:val="en-US"/>
        </w:rPr>
        <w:tab/>
        <w:t xml:space="preserve">Pfirrmann M, Baccarani M, Saussele S, et al. Prognosis of long-term survival considering disease-specific death in patients with chronic myeloid leukemia. </w:t>
      </w:r>
      <w:r w:rsidRPr="004513D0">
        <w:rPr>
          <w:i/>
          <w:sz w:val="22"/>
          <w:szCs w:val="22"/>
          <w:lang w:val="en-US"/>
        </w:rPr>
        <w:t>Leukemia</w:t>
      </w:r>
      <w:r w:rsidRPr="004513D0">
        <w:rPr>
          <w:sz w:val="22"/>
          <w:szCs w:val="22"/>
          <w:lang w:val="en-US"/>
        </w:rPr>
        <w:t xml:space="preserve"> 2016; </w:t>
      </w:r>
      <w:r w:rsidRPr="004513D0">
        <w:rPr>
          <w:b/>
          <w:sz w:val="22"/>
          <w:szCs w:val="22"/>
          <w:lang w:val="en-US"/>
        </w:rPr>
        <w:t>30</w:t>
      </w:r>
      <w:r w:rsidRPr="004513D0">
        <w:rPr>
          <w:sz w:val="22"/>
          <w:szCs w:val="22"/>
          <w:lang w:val="en-US"/>
        </w:rPr>
        <w:t>(1): 48-56.</w:t>
      </w:r>
    </w:p>
    <w:p w14:paraId="02D94C35" w14:textId="77777777" w:rsidR="002A69E3" w:rsidRPr="004513D0" w:rsidRDefault="00424D15">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sidRPr="004513D0">
        <w:rPr>
          <w:sz w:val="22"/>
          <w:szCs w:val="22"/>
          <w:lang w:val="en-US"/>
        </w:rPr>
        <w:tab/>
        <w:t xml:space="preserve">Hasford J, Pfirrmann M, Hehlmann R, et al. A new prognostic score for survival of patients with chronic myeloid leukemia treated with interferon alfa. Writing Committee for the Collaborative CML Prognostic Factors Project Group. </w:t>
      </w:r>
      <w:r w:rsidRPr="004513D0">
        <w:rPr>
          <w:i/>
          <w:sz w:val="22"/>
          <w:szCs w:val="22"/>
          <w:lang w:val="en-US"/>
        </w:rPr>
        <w:t>J Natl Cancer Inst</w:t>
      </w:r>
      <w:r w:rsidRPr="004513D0">
        <w:rPr>
          <w:sz w:val="22"/>
          <w:szCs w:val="22"/>
          <w:lang w:val="en-US"/>
        </w:rPr>
        <w:t xml:space="preserve"> 1998; </w:t>
      </w:r>
      <w:r w:rsidRPr="004513D0">
        <w:rPr>
          <w:b/>
          <w:sz w:val="22"/>
          <w:szCs w:val="22"/>
          <w:lang w:val="en-US"/>
        </w:rPr>
        <w:t>90</w:t>
      </w:r>
      <w:r w:rsidRPr="004513D0">
        <w:rPr>
          <w:sz w:val="22"/>
          <w:szCs w:val="22"/>
          <w:lang w:val="en-US"/>
        </w:rPr>
        <w:t>(11): 850-8.</w:t>
      </w:r>
    </w:p>
    <w:p w14:paraId="60909639" w14:textId="6521D5B8"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4</w:t>
      </w:r>
      <w:r w:rsidR="00424D15" w:rsidRPr="004513D0">
        <w:rPr>
          <w:sz w:val="22"/>
          <w:szCs w:val="22"/>
          <w:lang w:val="en-US"/>
        </w:rPr>
        <w:t>.</w:t>
      </w:r>
      <w:r w:rsidR="00424D15" w:rsidRPr="004513D0">
        <w:rPr>
          <w:sz w:val="22"/>
          <w:szCs w:val="22"/>
          <w:lang w:val="en-US"/>
        </w:rPr>
        <w:tab/>
        <w:t xml:space="preserve">Etienne G, Guilhot J, Rea D, et al. Long-Term Follow-Up of the French Stop Imatinib </w:t>
      </w:r>
      <w:r w:rsidR="00424D15" w:rsidRPr="004513D0">
        <w:rPr>
          <w:sz w:val="22"/>
          <w:szCs w:val="22"/>
        </w:rPr>
        <w:t xml:space="preserve">　</w:t>
      </w:r>
      <w:r w:rsidR="00424D15" w:rsidRPr="004513D0">
        <w:rPr>
          <w:sz w:val="22"/>
          <w:szCs w:val="22"/>
          <w:lang w:val="en-US"/>
        </w:rPr>
        <w:t xml:space="preserve">(STIM1) Study in Patients With Chronic Myeloid Leukemia. </w:t>
      </w:r>
      <w:r w:rsidR="00424D15" w:rsidRPr="004513D0">
        <w:rPr>
          <w:i/>
          <w:sz w:val="22"/>
          <w:szCs w:val="22"/>
          <w:lang w:val="en-US"/>
        </w:rPr>
        <w:t>J Clin Oncol</w:t>
      </w:r>
      <w:r w:rsidR="00424D15" w:rsidRPr="004513D0">
        <w:rPr>
          <w:sz w:val="22"/>
          <w:szCs w:val="22"/>
          <w:lang w:val="en-US"/>
        </w:rPr>
        <w:t xml:space="preserve"> 2017; </w:t>
      </w:r>
      <w:r w:rsidR="00424D15" w:rsidRPr="004513D0">
        <w:rPr>
          <w:b/>
          <w:sz w:val="22"/>
          <w:szCs w:val="22"/>
          <w:lang w:val="en-US"/>
        </w:rPr>
        <w:t>35</w:t>
      </w:r>
      <w:r w:rsidR="00424D15" w:rsidRPr="004513D0">
        <w:rPr>
          <w:sz w:val="22"/>
          <w:szCs w:val="22"/>
          <w:lang w:val="en-US"/>
        </w:rPr>
        <w:t>(3): 298-305.</w:t>
      </w:r>
    </w:p>
    <w:p w14:paraId="25DFE159" w14:textId="5E10E8E1"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Saussele S, Richter J, Guilhot J, et al. Discontinuation of tyrosine kinase inhibitor therapy in chronic myeloid leukaemia (EURO-SKI): a prespecified interim analysis of a prospective, multicentre, non-randomised, trial. </w:t>
      </w:r>
      <w:r w:rsidR="00424D15" w:rsidRPr="004513D0">
        <w:rPr>
          <w:i/>
          <w:sz w:val="22"/>
          <w:szCs w:val="22"/>
          <w:lang w:val="en-US"/>
        </w:rPr>
        <w:t>Lancet Oncol</w:t>
      </w:r>
      <w:r w:rsidR="00424D15" w:rsidRPr="004513D0">
        <w:rPr>
          <w:sz w:val="22"/>
          <w:szCs w:val="22"/>
          <w:lang w:val="en-US"/>
        </w:rPr>
        <w:t xml:space="preserve"> 2018; </w:t>
      </w:r>
      <w:r w:rsidR="00424D15" w:rsidRPr="004513D0">
        <w:rPr>
          <w:b/>
          <w:sz w:val="22"/>
          <w:szCs w:val="22"/>
          <w:lang w:val="en-US"/>
        </w:rPr>
        <w:t>19</w:t>
      </w:r>
      <w:r w:rsidR="00424D15" w:rsidRPr="004513D0">
        <w:rPr>
          <w:sz w:val="22"/>
          <w:szCs w:val="22"/>
          <w:lang w:val="en-US"/>
        </w:rPr>
        <w:t>(6): 747-57.</w:t>
      </w:r>
    </w:p>
    <w:p w14:paraId="18D4E89A" w14:textId="49C2F54D"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Matsuki E, Ono Y, Sakurai M, et al. Discontinuation of Imatinib in Patients with CML and Sustained Complete Molecular Response (CMR) for Over 2 Years in the Japanese Population – An Interim Analysis of KEIO STIM Study. </w:t>
      </w:r>
      <w:r w:rsidR="00424D15" w:rsidRPr="004513D0">
        <w:rPr>
          <w:i/>
          <w:sz w:val="22"/>
          <w:szCs w:val="22"/>
          <w:lang w:val="en-US"/>
        </w:rPr>
        <w:t>Blood</w:t>
      </w:r>
      <w:r w:rsidR="00424D15" w:rsidRPr="004513D0">
        <w:rPr>
          <w:sz w:val="22"/>
          <w:szCs w:val="22"/>
          <w:lang w:val="en-US"/>
        </w:rPr>
        <w:t xml:space="preserve"> 2011; </w:t>
      </w:r>
      <w:r w:rsidR="00424D15" w:rsidRPr="004513D0">
        <w:rPr>
          <w:b/>
          <w:sz w:val="22"/>
          <w:szCs w:val="22"/>
          <w:lang w:val="en-US"/>
        </w:rPr>
        <w:t>118</w:t>
      </w:r>
      <w:r w:rsidR="00424D15" w:rsidRPr="004513D0">
        <w:rPr>
          <w:sz w:val="22"/>
          <w:szCs w:val="22"/>
          <w:lang w:val="en-US"/>
        </w:rPr>
        <w:t>(21): 3765-.</w:t>
      </w:r>
    </w:p>
    <w:p w14:paraId="3AEC2A8C" w14:textId="57496496"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Takahashi N, Kyo T, Maeda Y, et al. Discontinuation of imatinib in Japanese patients </w:t>
      </w:r>
      <w:r w:rsidR="00C36109">
        <w:rPr>
          <w:sz w:val="22"/>
          <w:szCs w:val="22"/>
        </w:rPr>
        <w:t xml:space="preserve">　</w:t>
      </w:r>
      <w:r w:rsidR="00424D15" w:rsidRPr="004513D0">
        <w:rPr>
          <w:sz w:val="22"/>
          <w:szCs w:val="22"/>
          <w:lang w:val="en-US"/>
        </w:rPr>
        <w:t xml:space="preserve">with chronic myeloid leukemia. </w:t>
      </w:r>
      <w:r w:rsidR="00424D15" w:rsidRPr="004513D0">
        <w:rPr>
          <w:i/>
          <w:sz w:val="22"/>
          <w:szCs w:val="22"/>
          <w:lang w:val="en-US"/>
        </w:rPr>
        <w:t>Haematologica</w:t>
      </w:r>
      <w:r w:rsidR="00424D15" w:rsidRPr="004513D0">
        <w:rPr>
          <w:sz w:val="22"/>
          <w:szCs w:val="22"/>
          <w:lang w:val="en-US"/>
        </w:rPr>
        <w:t xml:space="preserve"> 2012; </w:t>
      </w:r>
      <w:r w:rsidR="00424D15" w:rsidRPr="004513D0">
        <w:rPr>
          <w:b/>
          <w:sz w:val="22"/>
          <w:szCs w:val="22"/>
          <w:lang w:val="en-US"/>
        </w:rPr>
        <w:t>97</w:t>
      </w:r>
      <w:r w:rsidR="00424D15" w:rsidRPr="004513D0">
        <w:rPr>
          <w:sz w:val="22"/>
          <w:szCs w:val="22"/>
          <w:lang w:val="en-US"/>
        </w:rPr>
        <w:t>(6): 903-6.</w:t>
      </w:r>
    </w:p>
    <w:p w14:paraId="11290518" w14:textId="35A4B1A0"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8</w:t>
      </w:r>
      <w:r w:rsidR="00424D15" w:rsidRPr="004513D0">
        <w:rPr>
          <w:sz w:val="22"/>
          <w:szCs w:val="22"/>
          <w:lang w:val="en-US"/>
        </w:rPr>
        <w:t>.</w:t>
      </w:r>
      <w:r w:rsidR="00424D15" w:rsidRPr="004513D0">
        <w:rPr>
          <w:sz w:val="22"/>
          <w:szCs w:val="22"/>
          <w:lang w:val="en-US"/>
        </w:rPr>
        <w:tab/>
        <w:t xml:space="preserve">Takahashi N, Tauchi T, Kitamura K, et al. Deeper molecular response is a predictive factor for treatment-free remission after imatinib discontinuation in patients with chronic phase chronic myeloid leukemia: the JALSG-STIM213 study. </w:t>
      </w:r>
      <w:r w:rsidR="00424D15" w:rsidRPr="004513D0">
        <w:rPr>
          <w:i/>
          <w:sz w:val="22"/>
          <w:szCs w:val="22"/>
          <w:lang w:val="en-US"/>
        </w:rPr>
        <w:t>Int J Hematol</w:t>
      </w:r>
      <w:r w:rsidR="00424D15" w:rsidRPr="004513D0">
        <w:rPr>
          <w:sz w:val="22"/>
          <w:szCs w:val="22"/>
          <w:lang w:val="en-US"/>
        </w:rPr>
        <w:t xml:space="preserve"> 2018; </w:t>
      </w:r>
      <w:r w:rsidR="00424D15" w:rsidRPr="004513D0">
        <w:rPr>
          <w:b/>
          <w:sz w:val="22"/>
          <w:szCs w:val="22"/>
          <w:lang w:val="en-US"/>
        </w:rPr>
        <w:t>107</w:t>
      </w:r>
      <w:r w:rsidR="00424D15" w:rsidRPr="004513D0">
        <w:rPr>
          <w:sz w:val="22"/>
          <w:szCs w:val="22"/>
          <w:lang w:val="en-US"/>
        </w:rPr>
        <w:t>(2): 185-93.</w:t>
      </w:r>
    </w:p>
    <w:p w14:paraId="6DB52117" w14:textId="0A3F0685"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9</w:t>
      </w:r>
      <w:r w:rsidR="00424D15" w:rsidRPr="004513D0">
        <w:rPr>
          <w:sz w:val="22"/>
          <w:szCs w:val="22"/>
          <w:lang w:val="en-US"/>
        </w:rPr>
        <w:t>.</w:t>
      </w:r>
      <w:r w:rsidR="00424D15" w:rsidRPr="004513D0">
        <w:rPr>
          <w:sz w:val="22"/>
          <w:szCs w:val="22"/>
          <w:lang w:val="en-US"/>
        </w:rPr>
        <w:tab/>
        <w:t xml:space="preserve">Fujisawa S, Ueda Y, Usuki K, et al. Feasibility of the imatinib stop study in the Japanese clinical setting: delightedly overcome CML expert stop TKI trial (DOMEST Trial). </w:t>
      </w:r>
      <w:r w:rsidR="00424D15" w:rsidRPr="004513D0">
        <w:rPr>
          <w:i/>
          <w:sz w:val="22"/>
          <w:szCs w:val="22"/>
          <w:lang w:val="en-US"/>
        </w:rPr>
        <w:t>Int J Clin Oncol</w:t>
      </w:r>
      <w:r w:rsidR="00424D15" w:rsidRPr="004513D0">
        <w:rPr>
          <w:sz w:val="22"/>
          <w:szCs w:val="22"/>
          <w:lang w:val="en-US"/>
        </w:rPr>
        <w:t xml:space="preserve"> 2018.</w:t>
      </w:r>
    </w:p>
    <w:p w14:paraId="58C3521C" w14:textId="2EE9C30E"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Jabbour E, Kantarjian H. Chronic myeloid leukemia: 2018 update on diagnosis, therapy and monitoring. </w:t>
      </w:r>
      <w:r w:rsidR="00424D15" w:rsidRPr="004513D0">
        <w:rPr>
          <w:i/>
          <w:sz w:val="22"/>
          <w:szCs w:val="22"/>
          <w:lang w:val="en-US"/>
        </w:rPr>
        <w:t>Am J Hematol</w:t>
      </w:r>
      <w:r w:rsidR="00424D15" w:rsidRPr="004513D0">
        <w:rPr>
          <w:sz w:val="22"/>
          <w:szCs w:val="22"/>
          <w:lang w:val="en-US"/>
        </w:rPr>
        <w:t xml:space="preserve"> 2018; </w:t>
      </w:r>
      <w:r w:rsidR="00424D15" w:rsidRPr="004513D0">
        <w:rPr>
          <w:b/>
          <w:sz w:val="22"/>
          <w:szCs w:val="22"/>
          <w:lang w:val="en-US"/>
        </w:rPr>
        <w:t>93</w:t>
      </w:r>
      <w:r w:rsidR="00424D15" w:rsidRPr="004513D0">
        <w:rPr>
          <w:sz w:val="22"/>
          <w:szCs w:val="22"/>
          <w:lang w:val="en-US"/>
        </w:rPr>
        <w:t>(3): 442-59.</w:t>
      </w:r>
    </w:p>
    <w:p w14:paraId="5831E598" w14:textId="58ECC667"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Kadowaki N, Kawaguchi T, Kuroda J, et al. Discontinuation of Nilotinib in Patients with Chronic Myeloid Leukemia Who Have Maintained Deep Molecular Responses for at Least 2 Years: A Multicenter Phase 2 Stop Nilotinib (Nilst) Trial. </w:t>
      </w:r>
      <w:r w:rsidR="00424D15" w:rsidRPr="004513D0">
        <w:rPr>
          <w:i/>
          <w:sz w:val="22"/>
          <w:szCs w:val="22"/>
          <w:lang w:val="en-US"/>
        </w:rPr>
        <w:t>Blood</w:t>
      </w:r>
      <w:r w:rsidR="00424D15" w:rsidRPr="004513D0">
        <w:rPr>
          <w:sz w:val="22"/>
          <w:szCs w:val="22"/>
          <w:lang w:val="en-US"/>
        </w:rPr>
        <w:t xml:space="preserve"> 2016; </w:t>
      </w:r>
      <w:r w:rsidR="00424D15" w:rsidRPr="004513D0">
        <w:rPr>
          <w:b/>
          <w:sz w:val="22"/>
          <w:szCs w:val="22"/>
          <w:lang w:val="en-US"/>
        </w:rPr>
        <w:t>128</w:t>
      </w:r>
      <w:r w:rsidR="00424D15" w:rsidRPr="004513D0">
        <w:rPr>
          <w:sz w:val="22"/>
          <w:szCs w:val="22"/>
          <w:lang w:val="en-US"/>
        </w:rPr>
        <w:t>(22): 790-.</w:t>
      </w:r>
    </w:p>
    <w:p w14:paraId="0D41E7DE" w14:textId="0E8440DA"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Okada M, Imagawa J, Tanaka H, et al. Final 3-year Results of the Dasatinib Discontinuation Trial in Patients With Chronic Myeloid Leukemia Who Received Dasatinib as a Second-line Treatment. </w:t>
      </w:r>
      <w:r w:rsidR="00424D15" w:rsidRPr="004513D0">
        <w:rPr>
          <w:i/>
          <w:sz w:val="22"/>
          <w:szCs w:val="22"/>
          <w:lang w:val="en-US"/>
        </w:rPr>
        <w:t>Clin Lymphoma Myeloma Leuk</w:t>
      </w:r>
      <w:r w:rsidR="00424D15" w:rsidRPr="004513D0">
        <w:rPr>
          <w:sz w:val="22"/>
          <w:szCs w:val="22"/>
          <w:lang w:val="en-US"/>
        </w:rPr>
        <w:t xml:space="preserve"> 2018; </w:t>
      </w:r>
      <w:r w:rsidR="00424D15" w:rsidRPr="004513D0">
        <w:rPr>
          <w:b/>
          <w:sz w:val="22"/>
          <w:szCs w:val="22"/>
          <w:lang w:val="en-US"/>
        </w:rPr>
        <w:t>18</w:t>
      </w:r>
      <w:r w:rsidR="00424D15" w:rsidRPr="004513D0">
        <w:rPr>
          <w:sz w:val="22"/>
          <w:szCs w:val="22"/>
          <w:lang w:val="en-US"/>
        </w:rPr>
        <w:t>(5): 353-60.e1.</w:t>
      </w:r>
    </w:p>
    <w:p w14:paraId="3468D57D" w14:textId="02B8A01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3</w:t>
      </w:r>
      <w:r w:rsidR="00424D15" w:rsidRPr="004513D0">
        <w:rPr>
          <w:sz w:val="22"/>
          <w:szCs w:val="22"/>
          <w:lang w:val="en-US"/>
        </w:rPr>
        <w:t>.</w:t>
      </w:r>
      <w:r w:rsidR="00424D15" w:rsidRPr="004513D0">
        <w:rPr>
          <w:sz w:val="22"/>
          <w:szCs w:val="22"/>
          <w:lang w:val="en-US"/>
        </w:rPr>
        <w:tab/>
        <w:t>Matsuki E, Ono Y, Tonegawa K, et al. Detailed Investigation On Characteristics of Japanese Patients with Chronic Phase CML Who Achieved a Durable CMR After Discontinuation of Imatinib – an Updated Result of the Keio STI</w:t>
      </w:r>
      <w:r w:rsidR="00424D15" w:rsidRPr="004513D0">
        <w:rPr>
          <w:sz w:val="22"/>
          <w:szCs w:val="22"/>
          <w:lang w:val="en-US"/>
        </w:rPr>
        <w:lastRenderedPageBreak/>
        <w:t xml:space="preserve">M Study. </w:t>
      </w:r>
      <w:r w:rsidR="00424D15" w:rsidRPr="004513D0">
        <w:rPr>
          <w:i/>
          <w:sz w:val="22"/>
          <w:szCs w:val="22"/>
          <w:lang w:val="en-US"/>
        </w:rPr>
        <w:t>Blood</w:t>
      </w:r>
      <w:r w:rsidR="00424D15" w:rsidRPr="004513D0">
        <w:rPr>
          <w:sz w:val="22"/>
          <w:szCs w:val="22"/>
          <w:lang w:val="en-US"/>
        </w:rPr>
        <w:t xml:space="preserve"> 2012; </w:t>
      </w:r>
      <w:r w:rsidR="00424D15" w:rsidRPr="004513D0">
        <w:rPr>
          <w:b/>
          <w:sz w:val="22"/>
          <w:szCs w:val="22"/>
          <w:lang w:val="en-US"/>
        </w:rPr>
        <w:t>120</w:t>
      </w:r>
      <w:r w:rsidR="00424D15" w:rsidRPr="004513D0">
        <w:rPr>
          <w:sz w:val="22"/>
          <w:szCs w:val="22"/>
          <w:lang w:val="en-US"/>
        </w:rPr>
        <w:t>(21): 2788-.</w:t>
      </w:r>
    </w:p>
    <w:p w14:paraId="34D2EBD6" w14:textId="7FE29BB2" w:rsidR="002A69E3" w:rsidRPr="004513D0" w:rsidRDefault="00212811">
      <w:pPr>
        <w:pBdr>
          <w:top w:val="nil"/>
          <w:left w:val="nil"/>
          <w:bottom w:val="nil"/>
          <w:right w:val="nil"/>
          <w:between w:val="nil"/>
        </w:pBdr>
        <w:spacing w:line="240" w:lineRule="auto"/>
        <w:rPr>
          <w:sz w:val="22"/>
          <w:szCs w:val="22"/>
          <w:lang w:val="en-US"/>
        </w:rPr>
      </w:pPr>
      <w:r w:rsidRPr="004513D0">
        <w:rPr>
          <w:sz w:val="22"/>
          <w:szCs w:val="22"/>
          <w:lang w:val="en-US"/>
        </w:rPr>
        <w:t>1</w:t>
      </w:r>
      <w:r>
        <w:rPr>
          <w:rFonts w:hint="eastAsia"/>
          <w:sz w:val="22"/>
          <w:szCs w:val="22"/>
          <w:lang w:val="en-US"/>
        </w:rPr>
        <w:t>4</w:t>
      </w:r>
      <w:r w:rsidR="00424D15" w:rsidRPr="004513D0">
        <w:rPr>
          <w:sz w:val="22"/>
          <w:szCs w:val="22"/>
          <w:lang w:val="en-US"/>
        </w:rPr>
        <w:t xml:space="preserve">.  Sawyers CL. Chronic myeloid leukemia. </w:t>
      </w:r>
      <w:r w:rsidR="00424D15" w:rsidRPr="004513D0">
        <w:rPr>
          <w:i/>
          <w:sz w:val="22"/>
          <w:szCs w:val="22"/>
          <w:lang w:val="en-US"/>
        </w:rPr>
        <w:t>N Engl J Med</w:t>
      </w:r>
      <w:r w:rsidR="00424D15" w:rsidRPr="004513D0">
        <w:rPr>
          <w:sz w:val="22"/>
          <w:szCs w:val="22"/>
          <w:lang w:val="en-US"/>
        </w:rPr>
        <w:t xml:space="preserve"> 1999; </w:t>
      </w:r>
      <w:r w:rsidR="00424D15" w:rsidRPr="004513D0">
        <w:rPr>
          <w:b/>
          <w:sz w:val="22"/>
          <w:szCs w:val="22"/>
          <w:lang w:val="en-US"/>
        </w:rPr>
        <w:t>340</w:t>
      </w:r>
      <w:r w:rsidR="00424D15" w:rsidRPr="004513D0">
        <w:rPr>
          <w:sz w:val="22"/>
          <w:szCs w:val="22"/>
          <w:lang w:val="en-US"/>
        </w:rPr>
        <w:t>(17): 1330-40.</w:t>
      </w:r>
    </w:p>
    <w:p w14:paraId="1AAE38E7" w14:textId="337BF9D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Cortes JE, Talpaz M, Kantarjian H. Chronic myelogenous leukemia: a review. </w:t>
      </w:r>
      <w:r w:rsidR="00424D15" w:rsidRPr="004513D0">
        <w:rPr>
          <w:i/>
          <w:sz w:val="22"/>
          <w:szCs w:val="22"/>
          <w:lang w:val="en-US"/>
        </w:rPr>
        <w:t>Am J Med</w:t>
      </w:r>
      <w:r w:rsidR="00424D15" w:rsidRPr="004513D0">
        <w:rPr>
          <w:sz w:val="22"/>
          <w:szCs w:val="22"/>
          <w:lang w:val="en-US"/>
        </w:rPr>
        <w:t xml:space="preserve"> 1996; </w:t>
      </w:r>
      <w:r w:rsidR="00424D15" w:rsidRPr="004513D0">
        <w:rPr>
          <w:b/>
          <w:sz w:val="22"/>
          <w:szCs w:val="22"/>
          <w:lang w:val="en-US"/>
        </w:rPr>
        <w:t>100</w:t>
      </w:r>
      <w:r w:rsidR="00424D15" w:rsidRPr="004513D0">
        <w:rPr>
          <w:sz w:val="22"/>
          <w:szCs w:val="22"/>
          <w:lang w:val="en-US"/>
        </w:rPr>
        <w:t>(5): 555-70.</w:t>
      </w:r>
    </w:p>
    <w:p w14:paraId="28C9A653" w14:textId="362CBFE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Radich JP, Deininger M, Abboud CN, et al. Chronic Myeloid Leukemia, Version 1.2019, NCCN Clinical Practice Guidelines in Oncology. </w:t>
      </w:r>
      <w:r w:rsidR="00424D15" w:rsidRPr="004513D0">
        <w:rPr>
          <w:i/>
          <w:sz w:val="22"/>
          <w:szCs w:val="22"/>
          <w:lang w:val="en-US"/>
        </w:rPr>
        <w:t>J Natl Compr Canc Netw</w:t>
      </w:r>
      <w:r w:rsidR="00424D15" w:rsidRPr="004513D0">
        <w:rPr>
          <w:sz w:val="22"/>
          <w:szCs w:val="22"/>
          <w:lang w:val="en-US"/>
        </w:rPr>
        <w:t xml:space="preserve"> 2018; </w:t>
      </w:r>
      <w:r w:rsidR="00424D15" w:rsidRPr="004513D0">
        <w:rPr>
          <w:b/>
          <w:sz w:val="22"/>
          <w:szCs w:val="22"/>
          <w:lang w:val="en-US"/>
        </w:rPr>
        <w:t>16</w:t>
      </w:r>
      <w:r w:rsidR="00424D15" w:rsidRPr="004513D0">
        <w:rPr>
          <w:sz w:val="22"/>
          <w:szCs w:val="22"/>
          <w:lang w:val="en-US"/>
        </w:rPr>
        <w:t>(9): 1108-35.</w:t>
      </w:r>
    </w:p>
    <w:p w14:paraId="5AFE7EAA" w14:textId="6DCA614C"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O'Brien SG, Guilhot F, Larson RA, et al. Imatinib Compared with Interferon and Low-Dose Cytarabine for Newly Diagnosed Chronic-Phase Chronic Myeloid Leukemia. </w:t>
      </w:r>
      <w:r w:rsidR="00424D15" w:rsidRPr="004513D0">
        <w:rPr>
          <w:i/>
          <w:sz w:val="22"/>
          <w:szCs w:val="22"/>
          <w:lang w:val="en-US"/>
        </w:rPr>
        <w:t>New England Journal of Medicine</w:t>
      </w:r>
      <w:r w:rsidR="00424D15" w:rsidRPr="004513D0">
        <w:rPr>
          <w:sz w:val="22"/>
          <w:szCs w:val="22"/>
          <w:lang w:val="en-US"/>
        </w:rPr>
        <w:t xml:space="preserve"> 2003; </w:t>
      </w:r>
      <w:r w:rsidR="00424D15" w:rsidRPr="004513D0">
        <w:rPr>
          <w:b/>
          <w:sz w:val="22"/>
          <w:szCs w:val="22"/>
          <w:lang w:val="en-US"/>
        </w:rPr>
        <w:t>348</w:t>
      </w:r>
      <w:r w:rsidR="00424D15" w:rsidRPr="004513D0">
        <w:rPr>
          <w:sz w:val="22"/>
          <w:szCs w:val="22"/>
          <w:lang w:val="en-US"/>
        </w:rPr>
        <w:t>(11): 994-1004.</w:t>
      </w:r>
    </w:p>
    <w:p w14:paraId="704E28A8" w14:textId="080387CA"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18</w:t>
      </w:r>
      <w:r w:rsidR="00424D15" w:rsidRPr="004513D0">
        <w:rPr>
          <w:sz w:val="22"/>
          <w:szCs w:val="22"/>
          <w:lang w:val="en-US"/>
        </w:rPr>
        <w:t>.</w:t>
      </w:r>
      <w:r w:rsidR="00424D15" w:rsidRPr="004513D0">
        <w:rPr>
          <w:sz w:val="22"/>
          <w:szCs w:val="22"/>
          <w:lang w:val="en-US"/>
        </w:rPr>
        <w:tab/>
        <w:t xml:space="preserve">Hochhaus A, Larson RA, Guilhot F, et al. Long-Term Outcomes of Imatinib Treatment for Chronic Myeloid Leukemia. </w:t>
      </w:r>
      <w:r w:rsidR="00424D15" w:rsidRPr="004513D0">
        <w:rPr>
          <w:i/>
          <w:sz w:val="22"/>
          <w:szCs w:val="22"/>
          <w:lang w:val="en-US"/>
        </w:rPr>
        <w:t>N Engl J Med</w:t>
      </w:r>
      <w:r w:rsidR="00424D15" w:rsidRPr="004513D0">
        <w:rPr>
          <w:sz w:val="22"/>
          <w:szCs w:val="22"/>
          <w:lang w:val="en-US"/>
        </w:rPr>
        <w:t xml:space="preserve"> 2017; </w:t>
      </w:r>
      <w:r w:rsidR="00424D15" w:rsidRPr="004513D0">
        <w:rPr>
          <w:b/>
          <w:sz w:val="22"/>
          <w:szCs w:val="22"/>
          <w:lang w:val="en-US"/>
        </w:rPr>
        <w:t>376</w:t>
      </w:r>
      <w:r w:rsidR="00424D15" w:rsidRPr="004513D0">
        <w:rPr>
          <w:sz w:val="22"/>
          <w:szCs w:val="22"/>
          <w:lang w:val="en-US"/>
        </w:rPr>
        <w:t>(10): 917-27.</w:t>
      </w:r>
    </w:p>
    <w:p w14:paraId="017A9A43" w14:textId="0A7D0882"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19</w:t>
      </w:r>
      <w:r w:rsidR="00424D15" w:rsidRPr="004513D0">
        <w:rPr>
          <w:sz w:val="22"/>
          <w:szCs w:val="22"/>
          <w:lang w:val="en-US"/>
        </w:rPr>
        <w:t>.</w:t>
      </w:r>
      <w:r w:rsidR="00424D15" w:rsidRPr="004513D0">
        <w:rPr>
          <w:sz w:val="22"/>
          <w:szCs w:val="22"/>
          <w:lang w:val="en-US"/>
        </w:rPr>
        <w:tab/>
        <w:t xml:space="preserve">Kantarjian HM, Shah NP, Cortes JE, et al. Dasatinib or imatinib in newly diagnosed chronic-phase chronic myeloid leukemia: 2-year follow-up from a randomized phase 3 trial (DASISION). </w:t>
      </w:r>
      <w:r w:rsidR="00424D15" w:rsidRPr="004513D0">
        <w:rPr>
          <w:i/>
          <w:sz w:val="22"/>
          <w:szCs w:val="22"/>
          <w:lang w:val="en-US"/>
        </w:rPr>
        <w:t>Blood</w:t>
      </w:r>
      <w:r w:rsidR="00424D15" w:rsidRPr="004513D0">
        <w:rPr>
          <w:sz w:val="22"/>
          <w:szCs w:val="22"/>
          <w:lang w:val="en-US"/>
        </w:rPr>
        <w:t xml:space="preserve"> 2012; </w:t>
      </w:r>
      <w:r w:rsidR="00424D15" w:rsidRPr="004513D0">
        <w:rPr>
          <w:b/>
          <w:sz w:val="22"/>
          <w:szCs w:val="22"/>
          <w:lang w:val="en-US"/>
        </w:rPr>
        <w:t>119</w:t>
      </w:r>
      <w:r w:rsidR="00424D15" w:rsidRPr="004513D0">
        <w:rPr>
          <w:sz w:val="22"/>
          <w:szCs w:val="22"/>
          <w:lang w:val="en-US"/>
        </w:rPr>
        <w:t>(5): 1123-9.</w:t>
      </w:r>
    </w:p>
    <w:p w14:paraId="577CBF1A" w14:textId="79BC1893"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Nakamae H, Fujisawa S, Ogura M, et al. Dasatinib versus imatinib in Japanese patients with newly diagnosed chronic phase chronic myeloid leukemia: a subanalysis of the DASISION 5-year final report. </w:t>
      </w:r>
      <w:r w:rsidR="00424D15" w:rsidRPr="004513D0">
        <w:rPr>
          <w:i/>
          <w:sz w:val="22"/>
          <w:szCs w:val="22"/>
          <w:lang w:val="en-US"/>
        </w:rPr>
        <w:t>Int J Hematol</w:t>
      </w:r>
      <w:r w:rsidR="00424D15" w:rsidRPr="004513D0">
        <w:rPr>
          <w:sz w:val="22"/>
          <w:szCs w:val="22"/>
          <w:lang w:val="en-US"/>
        </w:rPr>
        <w:t xml:space="preserve"> 2017; </w:t>
      </w:r>
      <w:r w:rsidR="00424D15" w:rsidRPr="004513D0">
        <w:rPr>
          <w:b/>
          <w:sz w:val="22"/>
          <w:szCs w:val="22"/>
          <w:lang w:val="en-US"/>
        </w:rPr>
        <w:t>105</w:t>
      </w:r>
      <w:r w:rsidR="00424D15" w:rsidRPr="004513D0">
        <w:rPr>
          <w:sz w:val="22"/>
          <w:szCs w:val="22"/>
          <w:lang w:val="en-US"/>
        </w:rPr>
        <w:t>(6): 792-804.</w:t>
      </w:r>
    </w:p>
    <w:p w14:paraId="67BC1C37" w14:textId="4007A5D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Weisberg E, Manley PW, Breitenstein W, et al. Characterization of AMN107, a selective inhibitor of native and mutant Bcr-Abl. </w:t>
      </w:r>
      <w:r w:rsidR="00424D15" w:rsidRPr="004513D0">
        <w:rPr>
          <w:i/>
          <w:sz w:val="22"/>
          <w:szCs w:val="22"/>
          <w:lang w:val="en-US"/>
        </w:rPr>
        <w:t>Cancer Cell</w:t>
      </w:r>
      <w:r w:rsidR="00424D15" w:rsidRPr="004513D0">
        <w:rPr>
          <w:sz w:val="22"/>
          <w:szCs w:val="22"/>
          <w:lang w:val="en-US"/>
        </w:rPr>
        <w:t xml:space="preserve"> 2005; </w:t>
      </w:r>
      <w:r w:rsidR="00424D15" w:rsidRPr="004513D0">
        <w:rPr>
          <w:b/>
          <w:sz w:val="22"/>
          <w:szCs w:val="22"/>
          <w:lang w:val="en-US"/>
        </w:rPr>
        <w:t>7</w:t>
      </w:r>
      <w:r w:rsidR="00424D15" w:rsidRPr="004513D0">
        <w:rPr>
          <w:sz w:val="22"/>
          <w:szCs w:val="22"/>
          <w:lang w:val="en-US"/>
        </w:rPr>
        <w:t>(2): 129-41.</w:t>
      </w:r>
    </w:p>
    <w:p w14:paraId="36935222" w14:textId="00719B8C"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Kantarjian H, Giles F, Wunderle L, et al. Nilotinib in imatinib-resistant CML and Philadelphia chromosome-positive ALL. </w:t>
      </w:r>
      <w:r w:rsidR="00424D15" w:rsidRPr="004513D0">
        <w:rPr>
          <w:i/>
          <w:sz w:val="22"/>
          <w:szCs w:val="22"/>
          <w:lang w:val="en-US"/>
        </w:rPr>
        <w:t>N Engl J Med</w:t>
      </w:r>
      <w:r w:rsidR="00424D15" w:rsidRPr="004513D0">
        <w:rPr>
          <w:sz w:val="22"/>
          <w:szCs w:val="22"/>
          <w:lang w:val="en-US"/>
        </w:rPr>
        <w:t xml:space="preserve"> 2006; </w:t>
      </w:r>
      <w:r w:rsidR="00424D15" w:rsidRPr="004513D0">
        <w:rPr>
          <w:b/>
          <w:sz w:val="22"/>
          <w:szCs w:val="22"/>
          <w:lang w:val="en-US"/>
        </w:rPr>
        <w:t>354</w:t>
      </w:r>
      <w:r w:rsidR="00424D15" w:rsidRPr="004513D0">
        <w:rPr>
          <w:sz w:val="22"/>
          <w:szCs w:val="22"/>
          <w:lang w:val="en-US"/>
        </w:rPr>
        <w:t>(24): 2542-51.</w:t>
      </w:r>
    </w:p>
    <w:p w14:paraId="4CC2A842" w14:textId="2169020F"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3</w:t>
      </w:r>
      <w:r w:rsidR="00424D15" w:rsidRPr="004513D0">
        <w:rPr>
          <w:sz w:val="22"/>
          <w:szCs w:val="22"/>
          <w:lang w:val="en-US"/>
        </w:rPr>
        <w:t>.</w:t>
      </w:r>
      <w:r w:rsidR="00424D15" w:rsidRPr="004513D0">
        <w:rPr>
          <w:sz w:val="22"/>
          <w:szCs w:val="22"/>
          <w:lang w:val="en-US"/>
        </w:rPr>
        <w:tab/>
        <w:t xml:space="preserve">Hochhaus A, Saglio G, Hughes TP, et al. Long-term benefits and risks of frontline nilotinib vs imatinib for chronic myeloid leukemia in chronic phase: 5-year update of the randomized ENESTnd trial. </w:t>
      </w:r>
      <w:r w:rsidR="00424D15" w:rsidRPr="004513D0">
        <w:rPr>
          <w:i/>
          <w:sz w:val="22"/>
          <w:szCs w:val="22"/>
          <w:lang w:val="en-US"/>
        </w:rPr>
        <w:t>Leukemia</w:t>
      </w:r>
      <w:r w:rsidR="00424D15" w:rsidRPr="004513D0">
        <w:rPr>
          <w:sz w:val="22"/>
          <w:szCs w:val="22"/>
          <w:lang w:val="en-US"/>
        </w:rPr>
        <w:t xml:space="preserve"> 2016; </w:t>
      </w:r>
      <w:r w:rsidR="00424D15" w:rsidRPr="004513D0">
        <w:rPr>
          <w:b/>
          <w:sz w:val="22"/>
          <w:szCs w:val="22"/>
          <w:lang w:val="en-US"/>
        </w:rPr>
        <w:t>30</w:t>
      </w:r>
      <w:r w:rsidR="00424D15" w:rsidRPr="004513D0">
        <w:rPr>
          <w:sz w:val="22"/>
          <w:szCs w:val="22"/>
          <w:lang w:val="en-US"/>
        </w:rPr>
        <w:t>(5): 1044-54.</w:t>
      </w:r>
    </w:p>
    <w:p w14:paraId="62BDD7DF" w14:textId="5480B5C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4</w:t>
      </w:r>
      <w:r w:rsidR="00424D15" w:rsidRPr="004513D0">
        <w:rPr>
          <w:sz w:val="22"/>
          <w:szCs w:val="22"/>
          <w:lang w:val="en-US"/>
        </w:rPr>
        <w:t>.</w:t>
      </w:r>
      <w:r w:rsidR="00424D15" w:rsidRPr="004513D0">
        <w:rPr>
          <w:sz w:val="22"/>
          <w:szCs w:val="22"/>
          <w:lang w:val="en-US"/>
        </w:rPr>
        <w:tab/>
        <w:t xml:space="preserve">Cortes JE, Gambacorti-Passerini C, Deininger MW, et al. Bosutinib Versus Imatinib for Newly Diagnosed Chronic Myeloid Leukemia: Results From the Randomized BFORE Trial. </w:t>
      </w:r>
      <w:r w:rsidR="00424D15" w:rsidRPr="004513D0">
        <w:rPr>
          <w:i/>
          <w:sz w:val="22"/>
          <w:szCs w:val="22"/>
          <w:lang w:val="en-US"/>
        </w:rPr>
        <w:t>J Clin Oncol</w:t>
      </w:r>
      <w:r w:rsidR="00424D15" w:rsidRPr="004513D0">
        <w:rPr>
          <w:sz w:val="22"/>
          <w:szCs w:val="22"/>
          <w:lang w:val="en-US"/>
        </w:rPr>
        <w:t xml:space="preserve"> 2018; </w:t>
      </w:r>
      <w:r w:rsidR="00424D15" w:rsidRPr="004513D0">
        <w:rPr>
          <w:b/>
          <w:sz w:val="22"/>
          <w:szCs w:val="22"/>
          <w:lang w:val="en-US"/>
        </w:rPr>
        <w:t>36</w:t>
      </w:r>
      <w:r w:rsidR="00424D15" w:rsidRPr="004513D0">
        <w:rPr>
          <w:sz w:val="22"/>
          <w:szCs w:val="22"/>
          <w:lang w:val="en-US"/>
        </w:rPr>
        <w:t>(3): 231-7.</w:t>
      </w:r>
    </w:p>
    <w:p w14:paraId="280F756F" w14:textId="68CA0E02"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Cortes JE, Kim DW, Pinilla-Ibarz J, et al. Ponatinib efficacy and safety in Philadelphia chromosome-positive leukemia: final 5-year results of the phase 2 PACE trial. </w:t>
      </w:r>
      <w:r w:rsidR="00424D15" w:rsidRPr="004513D0">
        <w:rPr>
          <w:i/>
          <w:sz w:val="22"/>
          <w:szCs w:val="22"/>
          <w:lang w:val="en-US"/>
        </w:rPr>
        <w:t>Blood</w:t>
      </w:r>
      <w:r w:rsidR="00424D15" w:rsidRPr="004513D0">
        <w:rPr>
          <w:sz w:val="22"/>
          <w:szCs w:val="22"/>
          <w:lang w:val="en-US"/>
        </w:rPr>
        <w:t xml:space="preserve"> 2018; </w:t>
      </w:r>
      <w:r w:rsidR="00424D15" w:rsidRPr="004513D0">
        <w:rPr>
          <w:b/>
          <w:sz w:val="22"/>
          <w:szCs w:val="22"/>
          <w:lang w:val="en-US"/>
        </w:rPr>
        <w:t>132</w:t>
      </w:r>
      <w:r w:rsidR="00424D15" w:rsidRPr="004513D0">
        <w:rPr>
          <w:sz w:val="22"/>
          <w:szCs w:val="22"/>
          <w:lang w:val="en-US"/>
        </w:rPr>
        <w:t>(4): 393-404.</w:t>
      </w:r>
    </w:p>
    <w:p w14:paraId="7418DA9E" w14:textId="2A88572B"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Ross DM, Branford S, Seymour JF, et al. Safety and efficacy of imatinib cessation for CML patients with stable undetectable minimal residual disease: results from the TWISTER study. </w:t>
      </w:r>
      <w:r w:rsidR="00424D15" w:rsidRPr="004513D0">
        <w:rPr>
          <w:i/>
          <w:sz w:val="22"/>
          <w:szCs w:val="22"/>
          <w:lang w:val="en-US"/>
        </w:rPr>
        <w:t>Blood</w:t>
      </w:r>
      <w:r w:rsidR="00424D15" w:rsidRPr="004513D0">
        <w:rPr>
          <w:sz w:val="22"/>
          <w:szCs w:val="22"/>
          <w:lang w:val="en-US"/>
        </w:rPr>
        <w:t xml:space="preserve"> 2013; </w:t>
      </w:r>
      <w:r w:rsidR="00424D15" w:rsidRPr="004513D0">
        <w:rPr>
          <w:b/>
          <w:sz w:val="22"/>
          <w:szCs w:val="22"/>
          <w:lang w:val="en-US"/>
        </w:rPr>
        <w:t>122</w:t>
      </w:r>
      <w:r w:rsidR="00424D15" w:rsidRPr="004513D0">
        <w:rPr>
          <w:sz w:val="22"/>
          <w:szCs w:val="22"/>
          <w:lang w:val="en-US"/>
        </w:rPr>
        <w:t>(4): 515-22.</w:t>
      </w:r>
    </w:p>
    <w:p w14:paraId="7887E18C" w14:textId="4B84CA70"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Thielen N, van der Holt B, Cornelissen JJ, et al. Imatinib discontinuation in chronic phase myeloid leukaemia patients in sustained complete molecular response: a randomised trial of the Dutch-Belgian Cooperative Trial for Haemato-Oncology (HOVON). </w:t>
      </w:r>
      <w:r w:rsidR="00424D15" w:rsidRPr="004513D0">
        <w:rPr>
          <w:i/>
          <w:sz w:val="22"/>
          <w:szCs w:val="22"/>
          <w:lang w:val="en-US"/>
        </w:rPr>
        <w:t>Eur J Cancer</w:t>
      </w:r>
      <w:r w:rsidR="00424D15" w:rsidRPr="004513D0">
        <w:rPr>
          <w:sz w:val="22"/>
          <w:szCs w:val="22"/>
          <w:lang w:val="en-US"/>
        </w:rPr>
        <w:t xml:space="preserve"> 2013; </w:t>
      </w:r>
      <w:r w:rsidR="00424D15" w:rsidRPr="004513D0">
        <w:rPr>
          <w:b/>
          <w:sz w:val="22"/>
          <w:szCs w:val="22"/>
          <w:lang w:val="en-US"/>
        </w:rPr>
        <w:t>49</w:t>
      </w:r>
      <w:r w:rsidR="00424D15" w:rsidRPr="004513D0">
        <w:rPr>
          <w:sz w:val="22"/>
          <w:szCs w:val="22"/>
          <w:lang w:val="en-US"/>
        </w:rPr>
        <w:t>(15): 3242-6.</w:t>
      </w:r>
    </w:p>
    <w:p w14:paraId="0FE4A555" w14:textId="4056FEE8"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28</w:t>
      </w:r>
      <w:r w:rsidR="00424D15" w:rsidRPr="004513D0">
        <w:rPr>
          <w:sz w:val="22"/>
          <w:szCs w:val="22"/>
          <w:lang w:val="en-US"/>
        </w:rPr>
        <w:t>.</w:t>
      </w:r>
      <w:r w:rsidR="00424D15" w:rsidRPr="004513D0">
        <w:rPr>
          <w:sz w:val="22"/>
          <w:szCs w:val="22"/>
          <w:lang w:val="en-US"/>
        </w:rPr>
        <w:tab/>
        <w:t xml:space="preserve">Rousselot P, Charbonnier A, Cony-Makhoul P, et al. Loss of major molecular response as a trigger for restarting tyrosine kinase inhibitor therapy </w:t>
      </w:r>
      <w:r w:rsidR="00424D15" w:rsidRPr="004513D0">
        <w:rPr>
          <w:sz w:val="22"/>
          <w:szCs w:val="22"/>
          <w:lang w:val="en-US"/>
        </w:rPr>
        <w:lastRenderedPageBreak/>
        <w:t xml:space="preserve">in patients with chronic-phase chronic myelogenous leukemia who have stopped imatinib after durable undetectable disease. </w:t>
      </w:r>
      <w:r w:rsidR="00424D15" w:rsidRPr="004513D0">
        <w:rPr>
          <w:i/>
          <w:sz w:val="22"/>
          <w:szCs w:val="22"/>
          <w:lang w:val="en-US"/>
        </w:rPr>
        <w:t>J Clin Oncol</w:t>
      </w:r>
      <w:r w:rsidR="00424D15" w:rsidRPr="004513D0">
        <w:rPr>
          <w:sz w:val="22"/>
          <w:szCs w:val="22"/>
          <w:lang w:val="en-US"/>
        </w:rPr>
        <w:t xml:space="preserve"> 2014; </w:t>
      </w:r>
      <w:r w:rsidR="00424D15" w:rsidRPr="004513D0">
        <w:rPr>
          <w:b/>
          <w:sz w:val="22"/>
          <w:szCs w:val="22"/>
          <w:lang w:val="en-US"/>
        </w:rPr>
        <w:t>32</w:t>
      </w:r>
      <w:r w:rsidR="00424D15" w:rsidRPr="004513D0">
        <w:rPr>
          <w:sz w:val="22"/>
          <w:szCs w:val="22"/>
          <w:lang w:val="en-US"/>
        </w:rPr>
        <w:t>(5): 424-30.</w:t>
      </w:r>
    </w:p>
    <w:p w14:paraId="51A76FE4" w14:textId="647DEA6A"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29</w:t>
      </w:r>
      <w:r w:rsidR="00424D15" w:rsidRPr="004513D0">
        <w:rPr>
          <w:sz w:val="22"/>
          <w:szCs w:val="22"/>
          <w:lang w:val="en-US"/>
        </w:rPr>
        <w:t>.</w:t>
      </w:r>
      <w:r w:rsidR="00424D15" w:rsidRPr="004513D0">
        <w:rPr>
          <w:sz w:val="22"/>
          <w:szCs w:val="22"/>
          <w:lang w:val="en-US"/>
        </w:rPr>
        <w:tab/>
        <w:t xml:space="preserve">Mori S, Vagge E, le Coutre P, et al. Age and dPCR can predict relapse in CML patients who discontinued imatinib: the ISAV study. </w:t>
      </w:r>
      <w:r w:rsidR="00424D15" w:rsidRPr="004513D0">
        <w:rPr>
          <w:i/>
          <w:sz w:val="22"/>
          <w:szCs w:val="22"/>
          <w:lang w:val="en-US"/>
        </w:rPr>
        <w:t>Am J Hematol</w:t>
      </w:r>
      <w:r w:rsidR="00424D15" w:rsidRPr="004513D0">
        <w:rPr>
          <w:sz w:val="22"/>
          <w:szCs w:val="22"/>
          <w:lang w:val="en-US"/>
        </w:rPr>
        <w:t xml:space="preserve"> 2015; </w:t>
      </w:r>
      <w:r w:rsidR="00424D15" w:rsidRPr="004513D0">
        <w:rPr>
          <w:b/>
          <w:sz w:val="22"/>
          <w:szCs w:val="22"/>
          <w:lang w:val="en-US"/>
        </w:rPr>
        <w:t>90</w:t>
      </w:r>
      <w:r w:rsidR="00424D15" w:rsidRPr="004513D0">
        <w:rPr>
          <w:sz w:val="22"/>
          <w:szCs w:val="22"/>
          <w:lang w:val="en-US"/>
        </w:rPr>
        <w:t>(10): 910-4.</w:t>
      </w:r>
    </w:p>
    <w:p w14:paraId="1F7C58A5" w14:textId="4D96C012"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Lee SE, Choi SY, Song HY, et al. Imatinib withdrawal syndrome and longer duration of imatinib have a close association with a lower molecular relapse after treatment discontinuation: the KID study. </w:t>
      </w:r>
      <w:r w:rsidR="00424D15" w:rsidRPr="004513D0">
        <w:rPr>
          <w:i/>
          <w:sz w:val="22"/>
          <w:szCs w:val="22"/>
          <w:lang w:val="en-US"/>
        </w:rPr>
        <w:t>Haematologica</w:t>
      </w:r>
      <w:r w:rsidR="00424D15" w:rsidRPr="004513D0">
        <w:rPr>
          <w:sz w:val="22"/>
          <w:szCs w:val="22"/>
          <w:lang w:val="en-US"/>
        </w:rPr>
        <w:t xml:space="preserve"> 2016; </w:t>
      </w:r>
      <w:r w:rsidR="00424D15" w:rsidRPr="004513D0">
        <w:rPr>
          <w:b/>
          <w:sz w:val="22"/>
          <w:szCs w:val="22"/>
          <w:lang w:val="en-US"/>
        </w:rPr>
        <w:t>101</w:t>
      </w:r>
      <w:r w:rsidR="00424D15" w:rsidRPr="004513D0">
        <w:rPr>
          <w:sz w:val="22"/>
          <w:szCs w:val="22"/>
          <w:lang w:val="en-US"/>
        </w:rPr>
        <w:t>(6): 717-23.</w:t>
      </w:r>
    </w:p>
    <w:p w14:paraId="00616B1E" w14:textId="2B534B08"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Rea D, Nicolini FE, Tulliez M, et al. Discontinuation of dasatinib or nilotinib in chronic myeloid leukemia: interim analysis of the STOP 2G-TKI study. </w:t>
      </w:r>
      <w:r w:rsidR="00424D15" w:rsidRPr="004513D0">
        <w:rPr>
          <w:i/>
          <w:sz w:val="22"/>
          <w:szCs w:val="22"/>
          <w:lang w:val="en-US"/>
        </w:rPr>
        <w:t>Blood</w:t>
      </w:r>
      <w:r w:rsidR="00424D15" w:rsidRPr="004513D0">
        <w:rPr>
          <w:sz w:val="22"/>
          <w:szCs w:val="22"/>
          <w:lang w:val="en-US"/>
        </w:rPr>
        <w:t xml:space="preserve"> 2017; </w:t>
      </w:r>
      <w:r w:rsidR="00424D15" w:rsidRPr="004513D0">
        <w:rPr>
          <w:b/>
          <w:sz w:val="22"/>
          <w:szCs w:val="22"/>
          <w:lang w:val="en-US"/>
        </w:rPr>
        <w:t>129</w:t>
      </w:r>
      <w:r w:rsidR="00424D15" w:rsidRPr="004513D0">
        <w:rPr>
          <w:sz w:val="22"/>
          <w:szCs w:val="22"/>
          <w:lang w:val="en-US"/>
        </w:rPr>
        <w:t>(7): 846-54.</w:t>
      </w:r>
    </w:p>
    <w:p w14:paraId="345701B7" w14:textId="3572393D"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Ross DM, Masszi T, Gomez Casares MT, et al. Durable treatment-free remission in </w:t>
      </w:r>
      <w:r w:rsidR="00424D15" w:rsidRPr="004513D0">
        <w:rPr>
          <w:sz w:val="22"/>
          <w:szCs w:val="22"/>
        </w:rPr>
        <w:t xml:space="preserve">　</w:t>
      </w:r>
      <w:r w:rsidR="00424D15" w:rsidRPr="004513D0">
        <w:rPr>
          <w:sz w:val="22"/>
          <w:szCs w:val="22"/>
          <w:lang w:val="en-US"/>
        </w:rPr>
        <w:t xml:space="preserve">patients with chronic myeloid leukemia in chronic phase following frontline nilotinib: 96-week update of the ENESTfreedom study. </w:t>
      </w:r>
      <w:r w:rsidR="00424D15" w:rsidRPr="004513D0">
        <w:rPr>
          <w:i/>
          <w:sz w:val="22"/>
          <w:szCs w:val="22"/>
          <w:lang w:val="en-US"/>
        </w:rPr>
        <w:t>J Cancer Res Clin Oncol</w:t>
      </w:r>
      <w:r w:rsidR="00424D15" w:rsidRPr="004513D0">
        <w:rPr>
          <w:sz w:val="22"/>
          <w:szCs w:val="22"/>
          <w:lang w:val="en-US"/>
        </w:rPr>
        <w:t xml:space="preserve"> 2018; </w:t>
      </w:r>
      <w:r w:rsidR="00424D15" w:rsidRPr="004513D0">
        <w:rPr>
          <w:b/>
          <w:sz w:val="22"/>
          <w:szCs w:val="22"/>
          <w:lang w:val="en-US"/>
        </w:rPr>
        <w:t>144</w:t>
      </w:r>
      <w:r w:rsidR="00424D15" w:rsidRPr="004513D0">
        <w:rPr>
          <w:sz w:val="22"/>
          <w:szCs w:val="22"/>
          <w:lang w:val="en-US"/>
        </w:rPr>
        <w:t>(5): 945-54.</w:t>
      </w:r>
    </w:p>
    <w:p w14:paraId="08E99C95" w14:textId="7A0AB000"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3</w:t>
      </w:r>
      <w:r w:rsidR="00424D15" w:rsidRPr="004513D0">
        <w:rPr>
          <w:sz w:val="22"/>
          <w:szCs w:val="22"/>
          <w:lang w:val="en-US"/>
        </w:rPr>
        <w:t>.</w:t>
      </w:r>
      <w:r w:rsidR="00424D15" w:rsidRPr="004513D0">
        <w:rPr>
          <w:sz w:val="22"/>
          <w:szCs w:val="22"/>
          <w:lang w:val="en-US"/>
        </w:rPr>
        <w:tab/>
        <w:t xml:space="preserve">Mahon FX, Boquimpani C, Kim DW, et al. Treatment-Free Remission After Second-Line Nilotinib Treatment in Patients With Chronic Myeloid Leukemia in Chronic Phase: Results From a Single-Group, Phase 2, Open-Label Study. </w:t>
      </w:r>
      <w:r w:rsidR="00424D15" w:rsidRPr="004513D0">
        <w:rPr>
          <w:i/>
          <w:sz w:val="22"/>
          <w:szCs w:val="22"/>
          <w:lang w:val="en-US"/>
        </w:rPr>
        <w:t>Ann Intern Med</w:t>
      </w:r>
      <w:r w:rsidR="00424D15" w:rsidRPr="004513D0">
        <w:rPr>
          <w:sz w:val="22"/>
          <w:szCs w:val="22"/>
          <w:lang w:val="en-US"/>
        </w:rPr>
        <w:t xml:space="preserve"> 2018; </w:t>
      </w:r>
      <w:r w:rsidR="00424D15" w:rsidRPr="004513D0">
        <w:rPr>
          <w:b/>
          <w:sz w:val="22"/>
          <w:szCs w:val="22"/>
          <w:lang w:val="en-US"/>
        </w:rPr>
        <w:t>168</w:t>
      </w:r>
      <w:r w:rsidR="00424D15" w:rsidRPr="004513D0">
        <w:rPr>
          <w:sz w:val="22"/>
          <w:szCs w:val="22"/>
          <w:lang w:val="en-US"/>
        </w:rPr>
        <w:t>(7): 461-70.</w:t>
      </w:r>
    </w:p>
    <w:p w14:paraId="0528AC7E" w14:textId="070EDDD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4</w:t>
      </w:r>
      <w:r w:rsidR="00424D15" w:rsidRPr="004513D0">
        <w:rPr>
          <w:sz w:val="22"/>
          <w:szCs w:val="22"/>
          <w:lang w:val="en-US"/>
        </w:rPr>
        <w:t>.</w:t>
      </w:r>
      <w:r w:rsidR="00424D15" w:rsidRPr="004513D0">
        <w:rPr>
          <w:sz w:val="22"/>
          <w:szCs w:val="22"/>
          <w:lang w:val="en-US"/>
        </w:rPr>
        <w:tab/>
        <w:t>JW V, JV M, M B, J T. Chronic myelogenous leukemia BCR-ABL1 positive. In: Swerdlow SH, Campo E, Harris NL, et al., editors.   WHO classification of tumors of hematopoietic and lymphoid tissues. Lyon: IARC; 2008 </w:t>
      </w:r>
    </w:p>
    <w:p w14:paraId="046DFF45" w14:textId="77777777" w:rsidR="002A69E3" w:rsidRPr="004513D0" w:rsidRDefault="00424D15">
      <w:pPr>
        <w:pBdr>
          <w:top w:val="nil"/>
          <w:left w:val="nil"/>
          <w:bottom w:val="nil"/>
          <w:right w:val="nil"/>
          <w:between w:val="nil"/>
        </w:pBdr>
        <w:spacing w:line="240" w:lineRule="auto"/>
        <w:rPr>
          <w:sz w:val="22"/>
          <w:szCs w:val="22"/>
          <w:lang w:val="en-US"/>
        </w:rPr>
      </w:pPr>
      <w:r w:rsidRPr="004513D0">
        <w:rPr>
          <w:sz w:val="22"/>
          <w:szCs w:val="22"/>
          <w:lang w:val="en-US"/>
        </w:rPr>
        <w:t> </w:t>
      </w:r>
    </w:p>
    <w:p w14:paraId="0AE6B4F7" w14:textId="77777777" w:rsidR="002A69E3" w:rsidRPr="004513D0" w:rsidRDefault="002A69E3">
      <w:pPr>
        <w:rPr>
          <w:lang w:val="en-US"/>
        </w:rPr>
      </w:pPr>
    </w:p>
    <w:p w14:paraId="4FB9125D" w14:textId="77777777" w:rsidR="002A69E3" w:rsidRPr="004513D0" w:rsidRDefault="002A69E3">
      <w:pPr>
        <w:rPr>
          <w:lang w:val="en-US"/>
        </w:rPr>
      </w:pPr>
    </w:p>
    <w:p w14:paraId="1C705108" w14:textId="77777777" w:rsidR="002A69E3" w:rsidRPr="004513D0" w:rsidRDefault="002A69E3" w:rsidP="00212811">
      <w:pPr>
        <w:widowControl/>
        <w:jc w:val="left"/>
        <w:rPr>
          <w:lang w:val="en-US"/>
        </w:rPr>
      </w:pPr>
      <w:bookmarkStart w:id="96" w:name="_ubzyrup6jej" w:colFirst="0" w:colLast="0"/>
      <w:bookmarkEnd w:id="96"/>
    </w:p>
    <w:sectPr w:rsidR="002A69E3" w:rsidRPr="004513D0" w:rsidSect="007D172E">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C9770" w14:textId="77777777" w:rsidR="00A1379F" w:rsidRDefault="00A1379F">
      <w:pPr>
        <w:spacing w:line="240" w:lineRule="auto"/>
      </w:pPr>
      <w:r>
        <w:separator/>
      </w:r>
    </w:p>
  </w:endnote>
  <w:endnote w:type="continuationSeparator" w:id="0">
    <w:p w14:paraId="7574C263" w14:textId="77777777" w:rsidR="00A1379F" w:rsidRDefault="00A13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altName w:val="MS PGothic"/>
    <w:panose1 w:val="020B0600070205080204"/>
    <w:charset w:val="80"/>
    <w:family w:val="modern"/>
    <w:pitch w:val="variable"/>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760243"/>
      <w:docPartObj>
        <w:docPartGallery w:val="Page Numbers (Bottom of Page)"/>
        <w:docPartUnique/>
      </w:docPartObj>
    </w:sdtPr>
    <w:sdtEndPr/>
    <w:sdtContent>
      <w:p w14:paraId="28B1AA6D" w14:textId="451152C8" w:rsidR="00EB7772" w:rsidRDefault="00EB7772">
        <w:pPr>
          <w:pStyle w:val="ab"/>
          <w:jc w:val="center"/>
        </w:pPr>
        <w:r>
          <w:fldChar w:fldCharType="begin"/>
        </w:r>
        <w:r>
          <w:instrText>PAGE   \* MERGEFORMAT</w:instrText>
        </w:r>
        <w:r>
          <w:fldChar w:fldCharType="separate"/>
        </w:r>
        <w:r w:rsidRPr="005A3520">
          <w:rPr>
            <w:noProof/>
            <w:lang w:val="ja-JP"/>
          </w:rPr>
          <w:t>1</w:t>
        </w:r>
        <w:r>
          <w:fldChar w:fldCharType="end"/>
        </w:r>
      </w:p>
    </w:sdtContent>
  </w:sdt>
  <w:p w14:paraId="2DC4CCC0" w14:textId="77777777" w:rsidR="00EB7772" w:rsidRDefault="00EB7772">
    <w:pPr>
      <w:pBdr>
        <w:top w:val="nil"/>
        <w:left w:val="nil"/>
        <w:bottom w:val="nil"/>
        <w:right w:val="nil"/>
        <w:between w:val="nil"/>
      </w:pBdr>
      <w:tabs>
        <w:tab w:val="center" w:pos="4252"/>
        <w:tab w:val="right" w:pos="8504"/>
      </w:tabs>
      <w:spacing w:line="240" w:lineRule="auto"/>
      <w:ind w:firstLine="220"/>
      <w:rPr>
        <w:rFonts w:ascii="Century" w:eastAsia="Century" w:hAnsi="Century" w:cs="Century"/>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5AE8D" w14:textId="77777777" w:rsidR="00A1379F" w:rsidRDefault="00A1379F">
      <w:pPr>
        <w:spacing w:line="240" w:lineRule="auto"/>
      </w:pPr>
      <w:r>
        <w:separator/>
      </w:r>
    </w:p>
  </w:footnote>
  <w:footnote w:type="continuationSeparator" w:id="0">
    <w:p w14:paraId="68443D63" w14:textId="77777777" w:rsidR="00A1379F" w:rsidRDefault="00A137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1128" w14:textId="032975B9" w:rsidR="00EB7772" w:rsidRPr="00D73386" w:rsidRDefault="00EB7772">
    <w:pPr>
      <w:pBdr>
        <w:top w:val="nil"/>
        <w:left w:val="nil"/>
        <w:bottom w:val="nil"/>
        <w:right w:val="nil"/>
        <w:between w:val="nil"/>
      </w:pBdr>
      <w:tabs>
        <w:tab w:val="center" w:pos="4252"/>
        <w:tab w:val="right" w:pos="8504"/>
      </w:tabs>
      <w:spacing w:line="240" w:lineRule="auto"/>
      <w:jc w:val="right"/>
      <w:rPr>
        <w:rFonts w:ascii="Century" w:eastAsia="Century" w:hAnsi="Century" w:cs="Century"/>
        <w:color w:val="000000"/>
        <w:sz w:val="22"/>
        <w:szCs w:val="22"/>
        <w:lang w:val="en-US"/>
      </w:rPr>
    </w:pPr>
    <w:r>
      <w:rPr>
        <w:rFonts w:hint="eastAsia"/>
        <w:b/>
        <w:lang w:val="en-US"/>
      </w:rPr>
      <w:t>JSH-J-SKI Protocol v1</w:t>
    </w:r>
    <w:r>
      <w:rPr>
        <w:b/>
        <w:lang w:val="en-US"/>
      </w:rPr>
      <w:t>.</w:t>
    </w:r>
    <w:r>
      <w:rPr>
        <w:rFonts w:hint="eastAsia"/>
        <w:b/>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8EB"/>
    <w:multiLevelType w:val="multilevel"/>
    <w:tmpl w:val="C4DA9798"/>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175A0957"/>
    <w:multiLevelType w:val="multilevel"/>
    <w:tmpl w:val="E03870A0"/>
    <w:lvl w:ilvl="0">
      <w:start w:val="8"/>
      <w:numFmt w:val="bullet"/>
      <w:lvlText w:val="・"/>
      <w:lvlJc w:val="left"/>
      <w:pPr>
        <w:ind w:left="420" w:hanging="42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AB12DE1"/>
    <w:multiLevelType w:val="multilevel"/>
    <w:tmpl w:val="A9B053C2"/>
    <w:lvl w:ilvl="0">
      <w:start w:val="1"/>
      <w:numFmt w:val="decimal"/>
      <w:lvlText w:val="%1）"/>
      <w:lvlJc w:val="left"/>
      <w:pPr>
        <w:ind w:left="703" w:hanging="420"/>
      </w:pPr>
      <w:rPr>
        <w:b w:val="0"/>
        <w:i w:val="0"/>
        <w:color w:val="000000"/>
        <w:sz w:val="20"/>
        <w:szCs w:val="20"/>
      </w:rPr>
    </w:lvl>
    <w:lvl w:ilvl="1">
      <w:start w:val="1"/>
      <w:numFmt w:val="bullet"/>
      <w:lvlText w:val="➢"/>
      <w:lvlJc w:val="left"/>
      <w:pPr>
        <w:ind w:left="1123" w:hanging="420"/>
      </w:pPr>
      <w:rPr>
        <w:rFonts w:ascii="Noto Sans Symbols" w:eastAsia="Noto Sans Symbols" w:hAnsi="Noto Sans Symbols" w:cs="Noto Sans Symbols"/>
      </w:rPr>
    </w:lvl>
    <w:lvl w:ilvl="2">
      <w:start w:val="1"/>
      <w:numFmt w:val="bullet"/>
      <w:lvlText w:val="✧"/>
      <w:lvlJc w:val="left"/>
      <w:pPr>
        <w:ind w:left="1543" w:hanging="420"/>
      </w:pPr>
      <w:rPr>
        <w:rFonts w:ascii="Noto Sans Symbols" w:eastAsia="Noto Sans Symbols" w:hAnsi="Noto Sans Symbols" w:cs="Noto Sans Symbols"/>
      </w:rPr>
    </w:lvl>
    <w:lvl w:ilvl="3">
      <w:start w:val="1"/>
      <w:numFmt w:val="bullet"/>
      <w:lvlText w:val="●"/>
      <w:lvlJc w:val="left"/>
      <w:pPr>
        <w:ind w:left="1963" w:hanging="420"/>
      </w:pPr>
      <w:rPr>
        <w:rFonts w:ascii="Noto Sans Symbols" w:eastAsia="Noto Sans Symbols" w:hAnsi="Noto Sans Symbols" w:cs="Noto Sans Symbols"/>
      </w:rPr>
    </w:lvl>
    <w:lvl w:ilvl="4">
      <w:start w:val="1"/>
      <w:numFmt w:val="bullet"/>
      <w:lvlText w:val="➢"/>
      <w:lvlJc w:val="left"/>
      <w:pPr>
        <w:ind w:left="2383" w:hanging="420"/>
      </w:pPr>
      <w:rPr>
        <w:rFonts w:ascii="Noto Sans Symbols" w:eastAsia="Noto Sans Symbols" w:hAnsi="Noto Sans Symbols" w:cs="Noto Sans Symbols"/>
      </w:rPr>
    </w:lvl>
    <w:lvl w:ilvl="5">
      <w:start w:val="1"/>
      <w:numFmt w:val="bullet"/>
      <w:lvlText w:val="✧"/>
      <w:lvlJc w:val="left"/>
      <w:pPr>
        <w:ind w:left="2803" w:hanging="420"/>
      </w:pPr>
      <w:rPr>
        <w:rFonts w:ascii="Noto Sans Symbols" w:eastAsia="Noto Sans Symbols" w:hAnsi="Noto Sans Symbols" w:cs="Noto Sans Symbols"/>
      </w:rPr>
    </w:lvl>
    <w:lvl w:ilvl="6">
      <w:start w:val="1"/>
      <w:numFmt w:val="bullet"/>
      <w:lvlText w:val="●"/>
      <w:lvlJc w:val="left"/>
      <w:pPr>
        <w:ind w:left="3223" w:hanging="420"/>
      </w:pPr>
      <w:rPr>
        <w:rFonts w:ascii="Noto Sans Symbols" w:eastAsia="Noto Sans Symbols" w:hAnsi="Noto Sans Symbols" w:cs="Noto Sans Symbols"/>
      </w:rPr>
    </w:lvl>
    <w:lvl w:ilvl="7">
      <w:start w:val="1"/>
      <w:numFmt w:val="bullet"/>
      <w:lvlText w:val="➢"/>
      <w:lvlJc w:val="left"/>
      <w:pPr>
        <w:ind w:left="3643" w:hanging="420"/>
      </w:pPr>
      <w:rPr>
        <w:rFonts w:ascii="Noto Sans Symbols" w:eastAsia="Noto Sans Symbols" w:hAnsi="Noto Sans Symbols" w:cs="Noto Sans Symbols"/>
      </w:rPr>
    </w:lvl>
    <w:lvl w:ilvl="8">
      <w:start w:val="1"/>
      <w:numFmt w:val="bullet"/>
      <w:lvlText w:val="✧"/>
      <w:lvlJc w:val="left"/>
      <w:pPr>
        <w:ind w:left="4063" w:hanging="420"/>
      </w:pPr>
      <w:rPr>
        <w:rFonts w:ascii="Noto Sans Symbols" w:eastAsia="Noto Sans Symbols" w:hAnsi="Noto Sans Symbols" w:cs="Noto Sans Symbols"/>
      </w:rPr>
    </w:lvl>
  </w:abstractNum>
  <w:abstractNum w:abstractNumId="3" w15:restartNumberingAfterBreak="0">
    <w:nsid w:val="1CA21D85"/>
    <w:multiLevelType w:val="multilevel"/>
    <w:tmpl w:val="3A8C66DA"/>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E304537"/>
    <w:multiLevelType w:val="multilevel"/>
    <w:tmpl w:val="0854E5C0"/>
    <w:lvl w:ilvl="0">
      <w:start w:val="1"/>
      <w:numFmt w:val="decimal"/>
      <w:lvlText w:val="%1）"/>
      <w:lvlJc w:val="left"/>
      <w:pPr>
        <w:ind w:left="840" w:hanging="420"/>
      </w:pPr>
      <w:rPr>
        <w:color w:val="000000"/>
        <w:sz w:val="20"/>
        <w:szCs w:val="20"/>
      </w:rPr>
    </w:lvl>
    <w:lvl w:ilvl="1">
      <w:start w:val="8"/>
      <w:numFmt w:val="bullet"/>
      <w:lvlText w:val="・"/>
      <w:lvlJc w:val="left"/>
      <w:pPr>
        <w:ind w:left="1260" w:hanging="420"/>
      </w:pPr>
      <w:rPr>
        <w:rFonts w:ascii="ＭＳ Ｐゴシック" w:eastAsia="ＭＳ Ｐゴシック" w:hAnsi="ＭＳ Ｐゴシック" w:cs="ＭＳ Ｐゴシック"/>
        <w:sz w:val="22"/>
        <w:szCs w:val="22"/>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5" w15:restartNumberingAfterBreak="0">
    <w:nsid w:val="38972BB0"/>
    <w:multiLevelType w:val="multilevel"/>
    <w:tmpl w:val="763C5602"/>
    <w:lvl w:ilvl="0">
      <w:start w:val="1"/>
      <w:numFmt w:val="decimal"/>
      <w:lvlText w:val="%1)"/>
      <w:lvlJc w:val="left"/>
      <w:pPr>
        <w:ind w:left="785" w:hanging="360"/>
      </w:pPr>
      <w:rPr>
        <w:b/>
      </w:r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6" w15:restartNumberingAfterBreak="0">
    <w:nsid w:val="64236ABE"/>
    <w:multiLevelType w:val="multilevel"/>
    <w:tmpl w:val="83F4A898"/>
    <w:lvl w:ilvl="0">
      <w:start w:val="1"/>
      <w:numFmt w:val="decimal"/>
      <w:lvlText w:val="%1）"/>
      <w:lvlJc w:val="left"/>
      <w:pPr>
        <w:ind w:left="840" w:hanging="420"/>
      </w:pPr>
      <w:rPr>
        <w:color w:val="000000"/>
        <w:sz w:val="20"/>
        <w:szCs w:val="20"/>
      </w:rPr>
    </w:lvl>
    <w:lvl w:ilvl="1">
      <w:start w:val="8"/>
      <w:numFmt w:val="bullet"/>
      <w:lvlText w:val="・"/>
      <w:lvlJc w:val="left"/>
      <w:pPr>
        <w:ind w:left="1260" w:hanging="420"/>
      </w:pPr>
      <w:rPr>
        <w:rFonts w:ascii="ＭＳ Ｐゴシック" w:eastAsia="ＭＳ Ｐゴシック" w:hAnsi="ＭＳ Ｐゴシック" w:cs="ＭＳ Ｐゴシック"/>
        <w:sz w:val="22"/>
        <w:szCs w:val="22"/>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7" w15:restartNumberingAfterBreak="0">
    <w:nsid w:val="79E51F29"/>
    <w:multiLevelType w:val="multilevel"/>
    <w:tmpl w:val="387EB0F4"/>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7CA52362"/>
    <w:multiLevelType w:val="multilevel"/>
    <w:tmpl w:val="41A4B8B2"/>
    <w:lvl w:ilvl="0">
      <w:start w:val="5"/>
      <w:numFmt w:val="decimal"/>
      <w:lvlText w:val="%1)"/>
      <w:lvlJc w:val="left"/>
      <w:pPr>
        <w:ind w:left="785"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7D044AE2"/>
    <w:multiLevelType w:val="multilevel"/>
    <w:tmpl w:val="1BD65576"/>
    <w:lvl w:ilvl="0">
      <w:start w:val="1"/>
      <w:numFmt w:val="decimal"/>
      <w:lvlText w:val="%1）"/>
      <w:lvlJc w:val="left"/>
      <w:pPr>
        <w:ind w:left="-1340" w:hanging="420"/>
      </w:pPr>
      <w:rPr>
        <w:color w:val="000000"/>
        <w:sz w:val="20"/>
        <w:szCs w:val="20"/>
      </w:rPr>
    </w:lvl>
    <w:lvl w:ilvl="1">
      <w:start w:val="1"/>
      <w:numFmt w:val="decimal"/>
      <w:lvlText w:val="(%2)"/>
      <w:lvlJc w:val="left"/>
      <w:pPr>
        <w:ind w:left="-920" w:hanging="420"/>
      </w:pPr>
    </w:lvl>
    <w:lvl w:ilvl="2">
      <w:start w:val="1"/>
      <w:numFmt w:val="decimal"/>
      <w:lvlText w:val="%3"/>
      <w:lvlJc w:val="left"/>
      <w:pPr>
        <w:ind w:left="-500" w:hanging="420"/>
      </w:pPr>
    </w:lvl>
    <w:lvl w:ilvl="3">
      <w:start w:val="1"/>
      <w:numFmt w:val="decimal"/>
      <w:lvlText w:val="%4."/>
      <w:lvlJc w:val="left"/>
      <w:pPr>
        <w:ind w:left="-80" w:hanging="420"/>
      </w:pPr>
    </w:lvl>
    <w:lvl w:ilvl="4">
      <w:start w:val="1"/>
      <w:numFmt w:val="decimal"/>
      <w:lvlText w:val="(%5)"/>
      <w:lvlJc w:val="left"/>
      <w:pPr>
        <w:ind w:left="340" w:hanging="420"/>
      </w:pPr>
    </w:lvl>
    <w:lvl w:ilvl="5">
      <w:start w:val="1"/>
      <w:numFmt w:val="decimal"/>
      <w:lvlText w:val="%6"/>
      <w:lvlJc w:val="left"/>
      <w:pPr>
        <w:ind w:left="760" w:hanging="420"/>
      </w:pPr>
    </w:lvl>
    <w:lvl w:ilvl="6">
      <w:start w:val="1"/>
      <w:numFmt w:val="decimal"/>
      <w:lvlText w:val="%7."/>
      <w:lvlJc w:val="left"/>
      <w:pPr>
        <w:ind w:left="1180" w:hanging="420"/>
      </w:pPr>
    </w:lvl>
    <w:lvl w:ilvl="7">
      <w:start w:val="1"/>
      <w:numFmt w:val="decimal"/>
      <w:lvlText w:val="(%8)"/>
      <w:lvlJc w:val="left"/>
      <w:pPr>
        <w:ind w:left="1600" w:hanging="420"/>
      </w:pPr>
    </w:lvl>
    <w:lvl w:ilvl="8">
      <w:start w:val="1"/>
      <w:numFmt w:val="decimal"/>
      <w:lvlText w:val="%9"/>
      <w:lvlJc w:val="left"/>
      <w:pPr>
        <w:ind w:left="2020" w:hanging="420"/>
      </w:pPr>
    </w:lvl>
  </w:abstractNum>
  <w:num w:numId="1">
    <w:abstractNumId w:val="5"/>
  </w:num>
  <w:num w:numId="2">
    <w:abstractNumId w:val="7"/>
  </w:num>
  <w:num w:numId="3">
    <w:abstractNumId w:val="9"/>
  </w:num>
  <w:num w:numId="4">
    <w:abstractNumId w:val="8"/>
  </w:num>
  <w:num w:numId="5">
    <w:abstractNumId w:val="0"/>
  </w:num>
  <w:num w:numId="6">
    <w:abstractNumId w:val="3"/>
  </w:num>
  <w:num w:numId="7">
    <w:abstractNumId w:val="1"/>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E3"/>
    <w:rsid w:val="0004067F"/>
    <w:rsid w:val="0006597E"/>
    <w:rsid w:val="00093847"/>
    <w:rsid w:val="0009466C"/>
    <w:rsid w:val="000E5551"/>
    <w:rsid w:val="000F5B05"/>
    <w:rsid w:val="0018168D"/>
    <w:rsid w:val="001828A4"/>
    <w:rsid w:val="00192B87"/>
    <w:rsid w:val="001D6B9C"/>
    <w:rsid w:val="00203EF2"/>
    <w:rsid w:val="00204521"/>
    <w:rsid w:val="0020489B"/>
    <w:rsid w:val="002107EE"/>
    <w:rsid w:val="00212811"/>
    <w:rsid w:val="002351AD"/>
    <w:rsid w:val="00247384"/>
    <w:rsid w:val="002A69E3"/>
    <w:rsid w:val="002C2DDE"/>
    <w:rsid w:val="002D1878"/>
    <w:rsid w:val="002D4045"/>
    <w:rsid w:val="00332C78"/>
    <w:rsid w:val="0034627B"/>
    <w:rsid w:val="003C44BB"/>
    <w:rsid w:val="003C589B"/>
    <w:rsid w:val="003E346B"/>
    <w:rsid w:val="003F3BE9"/>
    <w:rsid w:val="00424D15"/>
    <w:rsid w:val="00431D02"/>
    <w:rsid w:val="004463E4"/>
    <w:rsid w:val="004513D0"/>
    <w:rsid w:val="0046175B"/>
    <w:rsid w:val="004917D4"/>
    <w:rsid w:val="00492601"/>
    <w:rsid w:val="004E09BB"/>
    <w:rsid w:val="004E3182"/>
    <w:rsid w:val="005A3520"/>
    <w:rsid w:val="005B3664"/>
    <w:rsid w:val="005B56A4"/>
    <w:rsid w:val="005D75FD"/>
    <w:rsid w:val="00606031"/>
    <w:rsid w:val="0062047C"/>
    <w:rsid w:val="00625D09"/>
    <w:rsid w:val="00637316"/>
    <w:rsid w:val="00656384"/>
    <w:rsid w:val="00671638"/>
    <w:rsid w:val="00682BC5"/>
    <w:rsid w:val="006D4E31"/>
    <w:rsid w:val="006E66F0"/>
    <w:rsid w:val="006F2DB3"/>
    <w:rsid w:val="00722038"/>
    <w:rsid w:val="00745C4B"/>
    <w:rsid w:val="00754708"/>
    <w:rsid w:val="007A777D"/>
    <w:rsid w:val="007D172E"/>
    <w:rsid w:val="00850180"/>
    <w:rsid w:val="00871597"/>
    <w:rsid w:val="008B5121"/>
    <w:rsid w:val="008C396D"/>
    <w:rsid w:val="008C3B14"/>
    <w:rsid w:val="008F2D60"/>
    <w:rsid w:val="00934CE9"/>
    <w:rsid w:val="009774EE"/>
    <w:rsid w:val="009A2EEC"/>
    <w:rsid w:val="009B2884"/>
    <w:rsid w:val="009B2CBD"/>
    <w:rsid w:val="009F7F43"/>
    <w:rsid w:val="00A1379F"/>
    <w:rsid w:val="00A14B0B"/>
    <w:rsid w:val="00A2794A"/>
    <w:rsid w:val="00A61E14"/>
    <w:rsid w:val="00A66D01"/>
    <w:rsid w:val="00A97E0E"/>
    <w:rsid w:val="00AC6CFF"/>
    <w:rsid w:val="00B225F6"/>
    <w:rsid w:val="00B26CBC"/>
    <w:rsid w:val="00B64FDD"/>
    <w:rsid w:val="00B80D75"/>
    <w:rsid w:val="00BD1D93"/>
    <w:rsid w:val="00BD43FB"/>
    <w:rsid w:val="00C36109"/>
    <w:rsid w:val="00C401FA"/>
    <w:rsid w:val="00C57600"/>
    <w:rsid w:val="00C768D9"/>
    <w:rsid w:val="00CE0BA8"/>
    <w:rsid w:val="00CF6FEC"/>
    <w:rsid w:val="00D127F7"/>
    <w:rsid w:val="00D73386"/>
    <w:rsid w:val="00D820FD"/>
    <w:rsid w:val="00DA4813"/>
    <w:rsid w:val="00DA52F0"/>
    <w:rsid w:val="00DA6B1F"/>
    <w:rsid w:val="00DB6CDD"/>
    <w:rsid w:val="00DD428A"/>
    <w:rsid w:val="00DE2C98"/>
    <w:rsid w:val="00E07C6E"/>
    <w:rsid w:val="00E43A7E"/>
    <w:rsid w:val="00E47B0C"/>
    <w:rsid w:val="00E6721B"/>
    <w:rsid w:val="00E86E22"/>
    <w:rsid w:val="00E8786F"/>
    <w:rsid w:val="00E9257C"/>
    <w:rsid w:val="00EA3D75"/>
    <w:rsid w:val="00EB54C0"/>
    <w:rsid w:val="00EB7772"/>
    <w:rsid w:val="00EC2581"/>
    <w:rsid w:val="00EE404E"/>
    <w:rsid w:val="00EF0422"/>
    <w:rsid w:val="00EF64E1"/>
    <w:rsid w:val="00F00106"/>
    <w:rsid w:val="00F12244"/>
    <w:rsid w:val="00F13753"/>
    <w:rsid w:val="00F15087"/>
    <w:rsid w:val="00F225FF"/>
    <w:rsid w:val="00F3420D"/>
    <w:rsid w:val="00F60D64"/>
    <w:rsid w:val="00F60FD4"/>
    <w:rsid w:val="00F61C2A"/>
    <w:rsid w:val="00FB176D"/>
    <w:rsid w:val="00FD5FF4"/>
    <w:rsid w:val="00FE4EDA"/>
    <w:rsid w:val="00FF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C928479"/>
  <w15:docId w15:val="{C7B4E3CE-1F6D-8340-8158-EB8DA007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Theme="minorEastAsia" w:hAnsi="ＭＳ Ｐ明朝" w:cs="ＭＳ Ｐ明朝"/>
        <w:sz w:val="24"/>
        <w:szCs w:val="24"/>
        <w:lang w:val="ja" w:eastAsia="ja-JP" w:bidi="ar-SA"/>
      </w:rPr>
    </w:rPrDefault>
    <w:pPrDefault>
      <w:pPr>
        <w:widowControl w:val="0"/>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087"/>
  </w:style>
  <w:style w:type="paragraph" w:styleId="1">
    <w:name w:val="heading 1"/>
    <w:basedOn w:val="a"/>
    <w:next w:val="a"/>
    <w:uiPriority w:val="9"/>
    <w:qFormat/>
    <w:pPr>
      <w:keepNext/>
      <w:outlineLvl w:val="0"/>
    </w:pPr>
    <w:rPr>
      <w:rFonts w:ascii="ＭＳ Ｐゴシック" w:eastAsia="ＭＳ Ｐゴシック" w:hAnsi="ＭＳ Ｐゴシック" w:cs="ＭＳ Ｐゴシック"/>
      <w:b/>
    </w:rPr>
  </w:style>
  <w:style w:type="paragraph" w:styleId="2">
    <w:name w:val="heading 2"/>
    <w:basedOn w:val="a"/>
    <w:next w:val="a"/>
    <w:uiPriority w:val="9"/>
    <w:unhideWhenUsed/>
    <w:qFormat/>
    <w:pPr>
      <w:keepNext/>
      <w:outlineLvl w:val="1"/>
    </w:pPr>
    <w:rPr>
      <w:rFonts w:ascii="ＭＳ Ｐゴシック" w:eastAsia="ＭＳ Ｐゴシック" w:hAnsi="ＭＳ Ｐゴシック" w:cs="ＭＳ Ｐゴシック"/>
      <w:b/>
    </w:rPr>
  </w:style>
  <w:style w:type="paragraph" w:styleId="3">
    <w:name w:val="heading 3"/>
    <w:basedOn w:val="a"/>
    <w:next w:val="a"/>
    <w:uiPriority w:val="9"/>
    <w:unhideWhenUsed/>
    <w:qFormat/>
    <w:pPr>
      <w:keepNext/>
      <w:ind w:left="400"/>
      <w:outlineLvl w:val="2"/>
    </w:pPr>
    <w:rPr>
      <w:rFonts w:ascii="ＭＳ Ｐゴシック" w:eastAsia="ＭＳ Ｐゴシック" w:hAnsi="ＭＳ Ｐゴシック" w:cs="ＭＳ Ｐゴシック"/>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CellMar>
        <w:left w:w="57" w:type="dxa"/>
        <w:right w:w="57" w:type="dxa"/>
      </w:tblCellMar>
    </w:tblPr>
  </w:style>
  <w:style w:type="paragraph" w:styleId="a5">
    <w:name w:val="Balloon Text"/>
    <w:basedOn w:val="a"/>
    <w:link w:val="a6"/>
    <w:uiPriority w:val="99"/>
    <w:semiHidden/>
    <w:unhideWhenUsed/>
    <w:rsid w:val="00871597"/>
    <w:pPr>
      <w:spacing w:line="240" w:lineRule="auto"/>
    </w:pPr>
    <w:rPr>
      <w:rFonts w:ascii="Times New Roman" w:hAnsi="Times New Roman" w:cs="Times New Roman"/>
      <w:sz w:val="18"/>
      <w:szCs w:val="18"/>
    </w:rPr>
  </w:style>
  <w:style w:type="character" w:customStyle="1" w:styleId="a6">
    <w:name w:val="吹き出し (文字)"/>
    <w:basedOn w:val="a0"/>
    <w:link w:val="a5"/>
    <w:uiPriority w:val="99"/>
    <w:semiHidden/>
    <w:rsid w:val="00871597"/>
    <w:rPr>
      <w:rFonts w:ascii="Times New Roman" w:hAnsi="Times New Roman" w:cs="Times New Roman"/>
      <w:sz w:val="18"/>
      <w:szCs w:val="18"/>
    </w:rPr>
  </w:style>
  <w:style w:type="paragraph" w:styleId="11">
    <w:name w:val="toc 1"/>
    <w:basedOn w:val="a"/>
    <w:next w:val="a"/>
    <w:autoRedefine/>
    <w:uiPriority w:val="39"/>
    <w:unhideWhenUsed/>
    <w:rsid w:val="00FB176D"/>
  </w:style>
  <w:style w:type="paragraph" w:styleId="20">
    <w:name w:val="toc 2"/>
    <w:basedOn w:val="a"/>
    <w:next w:val="a"/>
    <w:autoRedefine/>
    <w:uiPriority w:val="39"/>
    <w:unhideWhenUsed/>
    <w:rsid w:val="00FB176D"/>
    <w:pPr>
      <w:ind w:leftChars="100" w:left="240"/>
    </w:pPr>
  </w:style>
  <w:style w:type="paragraph" w:styleId="30">
    <w:name w:val="toc 3"/>
    <w:basedOn w:val="a"/>
    <w:next w:val="a"/>
    <w:autoRedefine/>
    <w:uiPriority w:val="39"/>
    <w:unhideWhenUsed/>
    <w:rsid w:val="00FB176D"/>
    <w:pPr>
      <w:ind w:leftChars="200" w:left="480"/>
    </w:pPr>
  </w:style>
  <w:style w:type="character" w:styleId="a7">
    <w:name w:val="Hyperlink"/>
    <w:basedOn w:val="a0"/>
    <w:uiPriority w:val="99"/>
    <w:unhideWhenUsed/>
    <w:rsid w:val="00FB176D"/>
    <w:rPr>
      <w:color w:val="0000FF" w:themeColor="hyperlink"/>
      <w:u w:val="single"/>
    </w:rPr>
  </w:style>
  <w:style w:type="paragraph" w:styleId="a8">
    <w:name w:val="TOC Heading"/>
    <w:basedOn w:val="1"/>
    <w:next w:val="a"/>
    <w:uiPriority w:val="39"/>
    <w:unhideWhenUsed/>
    <w:qFormat/>
    <w:rsid w:val="00DE2C98"/>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a9">
    <w:name w:val="header"/>
    <w:basedOn w:val="a"/>
    <w:link w:val="aa"/>
    <w:uiPriority w:val="99"/>
    <w:unhideWhenUsed/>
    <w:rsid w:val="008C396D"/>
    <w:pPr>
      <w:tabs>
        <w:tab w:val="center" w:pos="4252"/>
        <w:tab w:val="right" w:pos="8504"/>
      </w:tabs>
      <w:snapToGrid w:val="0"/>
    </w:pPr>
  </w:style>
  <w:style w:type="character" w:customStyle="1" w:styleId="aa">
    <w:name w:val="ヘッダー (文字)"/>
    <w:basedOn w:val="a0"/>
    <w:link w:val="a9"/>
    <w:uiPriority w:val="99"/>
    <w:rsid w:val="008C396D"/>
  </w:style>
  <w:style w:type="paragraph" w:styleId="ab">
    <w:name w:val="footer"/>
    <w:basedOn w:val="a"/>
    <w:link w:val="ac"/>
    <w:uiPriority w:val="99"/>
    <w:unhideWhenUsed/>
    <w:rsid w:val="008C396D"/>
    <w:pPr>
      <w:tabs>
        <w:tab w:val="center" w:pos="4252"/>
        <w:tab w:val="right" w:pos="8504"/>
      </w:tabs>
      <w:snapToGrid w:val="0"/>
    </w:pPr>
  </w:style>
  <w:style w:type="character" w:customStyle="1" w:styleId="ac">
    <w:name w:val="フッター (文字)"/>
    <w:basedOn w:val="a0"/>
    <w:link w:val="ab"/>
    <w:uiPriority w:val="99"/>
    <w:rsid w:val="008C396D"/>
  </w:style>
  <w:style w:type="character" w:styleId="ad">
    <w:name w:val="annotation reference"/>
    <w:basedOn w:val="a0"/>
    <w:uiPriority w:val="99"/>
    <w:semiHidden/>
    <w:unhideWhenUsed/>
    <w:rsid w:val="00DD428A"/>
    <w:rPr>
      <w:sz w:val="18"/>
      <w:szCs w:val="18"/>
    </w:rPr>
  </w:style>
  <w:style w:type="paragraph" w:styleId="ae">
    <w:name w:val="annotation text"/>
    <w:basedOn w:val="a"/>
    <w:link w:val="af"/>
    <w:uiPriority w:val="99"/>
    <w:semiHidden/>
    <w:unhideWhenUsed/>
    <w:rsid w:val="00DD428A"/>
    <w:pPr>
      <w:jc w:val="left"/>
    </w:pPr>
  </w:style>
  <w:style w:type="character" w:customStyle="1" w:styleId="af">
    <w:name w:val="コメント文字列 (文字)"/>
    <w:basedOn w:val="a0"/>
    <w:link w:val="ae"/>
    <w:uiPriority w:val="99"/>
    <w:semiHidden/>
    <w:rsid w:val="00DD428A"/>
  </w:style>
  <w:style w:type="paragraph" w:styleId="af0">
    <w:name w:val="annotation subject"/>
    <w:basedOn w:val="ae"/>
    <w:next w:val="ae"/>
    <w:link w:val="af1"/>
    <w:uiPriority w:val="99"/>
    <w:semiHidden/>
    <w:unhideWhenUsed/>
    <w:rsid w:val="00DD428A"/>
    <w:rPr>
      <w:b/>
      <w:bCs/>
    </w:rPr>
  </w:style>
  <w:style w:type="character" w:customStyle="1" w:styleId="af1">
    <w:name w:val="コメント内容 (文字)"/>
    <w:basedOn w:val="af"/>
    <w:link w:val="af0"/>
    <w:uiPriority w:val="99"/>
    <w:semiHidden/>
    <w:rsid w:val="00DD428A"/>
    <w:rPr>
      <w:b/>
      <w:bCs/>
    </w:rPr>
  </w:style>
  <w:style w:type="paragraph" w:styleId="af2">
    <w:name w:val="List Paragraph"/>
    <w:basedOn w:val="a"/>
    <w:uiPriority w:val="34"/>
    <w:qFormat/>
    <w:rsid w:val="00DB6CDD"/>
    <w:pPr>
      <w:spacing w:line="240" w:lineRule="auto"/>
      <w:ind w:leftChars="400" w:left="840"/>
    </w:pPr>
    <w:rPr>
      <w:rFonts w:ascii="Century" w:eastAsia="ＭＳ 明朝" w:hAnsi="Century" w:cs="Times New Roman"/>
      <w:kern w:val="2"/>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12360">
      <w:bodyDiv w:val="1"/>
      <w:marLeft w:val="0"/>
      <w:marRight w:val="0"/>
      <w:marTop w:val="0"/>
      <w:marBottom w:val="0"/>
      <w:divBdr>
        <w:top w:val="none" w:sz="0" w:space="0" w:color="auto"/>
        <w:left w:val="none" w:sz="0" w:space="0" w:color="auto"/>
        <w:bottom w:val="none" w:sz="0" w:space="0" w:color="auto"/>
        <w:right w:val="none" w:sz="0" w:space="0" w:color="auto"/>
      </w:divBdr>
    </w:div>
    <w:div w:id="757949015">
      <w:bodyDiv w:val="1"/>
      <w:marLeft w:val="0"/>
      <w:marRight w:val="0"/>
      <w:marTop w:val="0"/>
      <w:marBottom w:val="0"/>
      <w:divBdr>
        <w:top w:val="none" w:sz="0" w:space="0" w:color="auto"/>
        <w:left w:val="none" w:sz="0" w:space="0" w:color="auto"/>
        <w:bottom w:val="none" w:sz="0" w:space="0" w:color="auto"/>
        <w:right w:val="none" w:sz="0" w:space="0" w:color="auto"/>
      </w:divBdr>
      <w:divsChild>
        <w:div w:id="51196093">
          <w:marLeft w:val="0"/>
          <w:marRight w:val="0"/>
          <w:marTop w:val="0"/>
          <w:marBottom w:val="120"/>
          <w:divBdr>
            <w:top w:val="none" w:sz="0" w:space="0" w:color="auto"/>
            <w:left w:val="none" w:sz="0" w:space="0" w:color="auto"/>
            <w:bottom w:val="none" w:sz="0" w:space="0" w:color="auto"/>
            <w:right w:val="none" w:sz="0" w:space="0" w:color="auto"/>
          </w:divBdr>
          <w:divsChild>
            <w:div w:id="811020145">
              <w:marLeft w:val="0"/>
              <w:marRight w:val="0"/>
              <w:marTop w:val="0"/>
              <w:marBottom w:val="0"/>
              <w:divBdr>
                <w:top w:val="none" w:sz="0" w:space="0" w:color="auto"/>
                <w:left w:val="none" w:sz="0" w:space="0" w:color="auto"/>
                <w:bottom w:val="none" w:sz="0" w:space="0" w:color="auto"/>
                <w:right w:val="none" w:sz="0" w:space="0" w:color="auto"/>
              </w:divBdr>
              <w:divsChild>
                <w:div w:id="2016181411">
                  <w:marLeft w:val="0"/>
                  <w:marRight w:val="0"/>
                  <w:marTop w:val="0"/>
                  <w:marBottom w:val="0"/>
                  <w:divBdr>
                    <w:top w:val="none" w:sz="0" w:space="0" w:color="auto"/>
                    <w:left w:val="none" w:sz="0" w:space="0" w:color="auto"/>
                    <w:bottom w:val="none" w:sz="0" w:space="0" w:color="auto"/>
                    <w:right w:val="none" w:sz="0" w:space="0" w:color="auto"/>
                  </w:divBdr>
                </w:div>
                <w:div w:id="966621297">
                  <w:marLeft w:val="0"/>
                  <w:marRight w:val="0"/>
                  <w:marTop w:val="0"/>
                  <w:marBottom w:val="0"/>
                  <w:divBdr>
                    <w:top w:val="none" w:sz="0" w:space="0" w:color="auto"/>
                    <w:left w:val="none" w:sz="0" w:space="0" w:color="auto"/>
                    <w:bottom w:val="none" w:sz="0" w:space="0" w:color="auto"/>
                    <w:right w:val="none" w:sz="0" w:space="0" w:color="auto"/>
                  </w:divBdr>
                </w:div>
              </w:divsChild>
            </w:div>
            <w:div w:id="805781148">
              <w:marLeft w:val="0"/>
              <w:marRight w:val="0"/>
              <w:marTop w:val="0"/>
              <w:marBottom w:val="0"/>
              <w:divBdr>
                <w:top w:val="none" w:sz="0" w:space="0" w:color="auto"/>
                <w:left w:val="none" w:sz="0" w:space="0" w:color="auto"/>
                <w:bottom w:val="none" w:sz="0" w:space="0" w:color="auto"/>
                <w:right w:val="none" w:sz="0" w:space="0" w:color="auto"/>
              </w:divBdr>
              <w:divsChild>
                <w:div w:id="3469801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17797032">
          <w:marLeft w:val="0"/>
          <w:marRight w:val="0"/>
          <w:marTop w:val="90"/>
          <w:marBottom w:val="0"/>
          <w:divBdr>
            <w:top w:val="none" w:sz="0" w:space="0" w:color="auto"/>
            <w:left w:val="none" w:sz="0" w:space="0" w:color="auto"/>
            <w:bottom w:val="none" w:sz="0" w:space="0" w:color="auto"/>
            <w:right w:val="none" w:sz="0" w:space="0" w:color="auto"/>
          </w:divBdr>
          <w:divsChild>
            <w:div w:id="14828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297AB11182AF4C8566B602B7F5C4DD" ma:contentTypeVersion="9" ma:contentTypeDescription="新しいドキュメントを作成します。" ma:contentTypeScope="" ma:versionID="5a79d96df79a9c5beaea9d06368edc30">
  <xsd:schema xmlns:xsd="http://www.w3.org/2001/XMLSchema" xmlns:xs="http://www.w3.org/2001/XMLSchema" xmlns:p="http://schemas.microsoft.com/office/2006/metadata/properties" xmlns:ns3="07040f2b-b4e6-4c0f-a360-e2e73ec53433" targetNamespace="http://schemas.microsoft.com/office/2006/metadata/properties" ma:root="true" ma:fieldsID="7395ba3174058deaa9e347d178bd7dff" ns3:_="">
    <xsd:import namespace="07040f2b-b4e6-4c0f-a360-e2e73ec534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0f2b-b4e6-4c0f-a360-e2e73ec53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54A2-0D3E-4884-A595-C6DC8771305B}">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7040f2b-b4e6-4c0f-a360-e2e73ec53433"/>
    <ds:schemaRef ds:uri="http://www.w3.org/XML/1998/namespace"/>
  </ds:schemaRefs>
</ds:datastoreItem>
</file>

<file path=customXml/itemProps2.xml><?xml version="1.0" encoding="utf-8"?>
<ds:datastoreItem xmlns:ds="http://schemas.openxmlformats.org/officeDocument/2006/customXml" ds:itemID="{A9608685-B6B8-4BEE-AB9A-89E092C9FEAC}">
  <ds:schemaRefs>
    <ds:schemaRef ds:uri="http://schemas.microsoft.com/sharepoint/v3/contenttype/forms"/>
  </ds:schemaRefs>
</ds:datastoreItem>
</file>

<file path=customXml/itemProps3.xml><?xml version="1.0" encoding="utf-8"?>
<ds:datastoreItem xmlns:ds="http://schemas.openxmlformats.org/officeDocument/2006/customXml" ds:itemID="{8A1A8226-8059-4F04-A00F-7F7ED0E6E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40f2b-b4e6-4c0f-a360-e2e73ec53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40022-3A78-43E4-ADD1-DD0A40AF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5458</Words>
  <Characters>31111</Characters>
  <Application>Microsoft Office Word</Application>
  <DocSecurity>4</DocSecurity>
  <Lines>259</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shimanoe</dc:creator>
  <cp:keywords/>
  <dc:description/>
  <cp:lastModifiedBy>日本血液学会</cp:lastModifiedBy>
  <cp:revision>2</cp:revision>
  <dcterms:created xsi:type="dcterms:W3CDTF">2023-12-22T01:28:00Z</dcterms:created>
  <dcterms:modified xsi:type="dcterms:W3CDTF">2023-12-22T01:28:00Z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0x01010067297AB11182AF4C8566B602B7F5C4DD</vt:lpwstr>
  </property>
</Properties>
</file>